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120" w:line="312"/>
        <w:jc w:val="center"/>
      </w:pPr>
      <w:r>
        <w:rPr>
          <w:rFonts w:ascii="Times New Roman" w:hAnsi="Times New Roman"/>
          <w:b/>
          <w:bCs/>
          <w:color w:val="000000"/>
          <w:sz w:val="32"/>
          <w:szCs w:val="32"/>
        </w:rPr>
        <w:t xml:space="preserve">РЕЦЕНЗИЯ</w:t>
      </w:r>
    </w:p>
    <w:p>
      <w:pPr>
        <w:spacing w:after="240" w:line="312"/>
        <w:jc w:val="center"/>
      </w:pPr>
      <w:r>
        <w:rPr>
          <w:rFonts w:ascii="Times New Roman" w:hAnsi="Times New Roman"/>
          <w:i/>
          <w:iCs/>
          <w:color w:val="555555"/>
          <w:sz w:val="22"/>
          <w:szCs w:val="22"/>
        </w:rPr>
        <w:t xml:space="preserve">ба забони тоҷикӣ</w:t>
      </w:r>
    </w:p>
    <w:p>
      <w:pPr>
        <w:spacing w:after="280" w:line="312"/>
        <w:ind w:left="400" w:right="400"/>
        <w:jc w:val="center"/>
      </w:pPr>
      <w:r>
        <w:rPr>
          <w:rFonts w:ascii="Times New Roman" w:hAnsi="Times New Roman"/>
          <w:i/>
          <w:iCs/>
          <w:color w:val="333333"/>
          <w:sz w:val="22"/>
          <w:szCs w:val="22"/>
        </w:rPr>
        <w:t xml:space="preserve">барои лоиҳаи «Complex Automation Pro (CAP)» — платформаи мониторинги равандҳои технологии фабрикаи бойсозӣ дар реъи вақт</w:t>
      </w:r>
    </w:p>
    <w:p>
      <w:pPr>
        <w:spacing w:after="120" w:before="120" w:line="312"/>
        <w:ind w:firstLine="709"/>
        <w:jc w:val="both"/>
      </w:pPr>
      <w:r>
        <w:rPr>
          <w:rFonts w:ascii="Times New Roman" w:hAnsi="Times New Roman"/>
          <w:b/>
          <w:bCs/>
          <w:color w:val="000000"/>
          <w:sz w:val="24"/>
          <w:szCs w:val="24"/>
        </w:rPr>
        <w:t xml:space="preserve">Аҳамияти мавзӯъ. </w:t>
      </w:r>
      <w:r>
        <w:rPr>
          <w:rFonts w:ascii="Times New Roman" w:hAnsi="Times New Roman"/>
          <w:color w:val="000000"/>
          <w:sz w:val="24"/>
          <w:szCs w:val="24"/>
        </w:rPr>
        <w:t xml:space="preserve">Автоматонияи корхонаҳои коркарди маъдан ва назорати равандҳои технологӣ дар реъи вақт — аз қабули кон то фиристодани консентрат — яке аз самтҳои муҳими модернизатсияи саноати кӯҳию металлургӣ аст. Лоиҳаи CAP платформаи ягонаи мониторингро пешниҳод менамояд: дар як процесс панели идора, интерфейси JSON API ва канали ахбории WebSocket дар реъи вақт ба корбар пешниҳод мешаванд. Чунин услуби ягона кор бо маълумотро содда мекунад ва вобастагӣ ба нармафзорҳои гуногунро кам мекунад.</w:t>
      </w:r>
    </w:p>
    <w:p>
      <w:pPr>
        <w:spacing w:after="120" w:before="120" w:line="312"/>
        <w:ind w:firstLine="709"/>
        <w:jc w:val="both"/>
      </w:pPr>
      <w:r>
        <w:rPr>
          <w:rFonts w:ascii="Times New Roman" w:hAnsi="Times New Roman"/>
          <w:b/>
          <w:bCs/>
          <w:color w:val="000000"/>
          <w:sz w:val="24"/>
          <w:szCs w:val="24"/>
        </w:rPr>
        <w:t xml:space="preserve">Тавсифи мухтасари кор. </w:t>
      </w:r>
      <w:r>
        <w:rPr>
          <w:rFonts w:ascii="Times New Roman" w:hAnsi="Times New Roman"/>
          <w:color w:val="000000"/>
          <w:sz w:val="24"/>
          <w:szCs w:val="24"/>
        </w:rPr>
        <w:t xml:space="preserve">Платформа бо забони барномасозии Go навишта шудааст ва ҳамчун як файли бинарии статикӣ ҷамъ меояд, ки ҷойгиркунӣ ва таъмиру нигоҳдориро осон мекунад. Барои нигоҳдории маълумот дар реҷаи намоишӣ SQLite, дар реҷаи истеҳсолӣ PostgreSQL истифода мешавад. Дар таркиби система шлюзи канорӣ (edge gateway) бо ҳофизаи буферии маҳаллӣ ҷойгир аст: ҳангоми қатъ шудани алоқа телеметрия дар ҷой нигоҳ дошта мешавад ва пас аз барқарор шудани пайванд пурра ба сервер интиқол дода мешавад. Симулятори дарунсохт имкон медиҳад, ки кори система бе таҷҳизоти воқеӣ санҷида ва намоиш дода шавад. Интерфейси корбар дар асоси React, TypeScript ва Vite сохта шудааст, диаграммаҳо бо китобхонаи Recharts тарҳрезӣ шудаанд ва мавзӯъҳои равшан ва торик пешбинӣ шудаанд.</w:t>
      </w:r>
    </w:p>
    <w:p>
      <w:pPr>
        <w:spacing w:after="100" w:before="120" w:line="312"/>
        <w:ind w:firstLine="709"/>
        <w:jc w:val="both"/>
      </w:pPr>
      <w:r>
        <w:rPr>
          <w:rFonts w:ascii="Times New Roman" w:hAnsi="Times New Roman"/>
          <w:b/>
          <w:bCs/>
          <w:color w:val="000000"/>
          <w:sz w:val="24"/>
          <w:szCs w:val="24"/>
        </w:rPr>
        <w:t xml:space="preserve">Ҷиҳатҳои мусбати лоиҳа:</w:t>
      </w:r>
    </w:p>
    <w:p>
      <w:pPr>
        <w:pStyle w:val="ListParagraph"/>
        <w:numPr>
          <w:ilvl w:val="0"/>
          <w:numId w:val="2"/>
        </w:numPr>
        <w:spacing w:after="60" w:line="312"/>
        <w:jc w:val="both"/>
      </w:pPr>
      <w:r>
        <w:rPr>
          <w:rFonts w:ascii="Times New Roman" w:hAnsi="Times New Roman"/>
          <w:color w:val="000000"/>
          <w:sz w:val="24"/>
          <w:szCs w:val="24"/>
        </w:rPr>
        <w:t xml:space="preserve">Меъмории возеҳи модулӣ (api, gateway, store, service, simulator, control) бо тақсими дақиқи вазифаҳо байни қисмҳо.</w:t>
      </w:r>
    </w:p>
    <w:p>
      <w:pPr>
        <w:pStyle w:val="ListParagraph"/>
        <w:numPr>
          <w:ilvl w:val="0"/>
          <w:numId w:val="2"/>
        </w:numPr>
        <w:spacing w:after="60" w:line="312"/>
        <w:jc w:val="both"/>
      </w:pPr>
      <w:r>
        <w:rPr>
          <w:rFonts w:ascii="Times New Roman" w:hAnsi="Times New Roman"/>
          <w:color w:val="000000"/>
          <w:sz w:val="24"/>
          <w:szCs w:val="24"/>
        </w:rPr>
        <w:t xml:space="preserve">Дастгирии протоколҳои саноатии Modbus, OPC UA ва MQTT — заминаи пайвасти бевосита ба таҷҳизоти воқеии истеҳсолот.</w:t>
      </w:r>
    </w:p>
    <w:p>
      <w:pPr>
        <w:pStyle w:val="ListParagraph"/>
        <w:numPr>
          <w:ilvl w:val="0"/>
          <w:numId w:val="2"/>
        </w:numPr>
        <w:spacing w:after="60" w:line="312"/>
        <w:jc w:val="both"/>
      </w:pPr>
      <w:r>
        <w:rPr>
          <w:rFonts w:ascii="Times New Roman" w:hAnsi="Times New Roman"/>
          <w:color w:val="000000"/>
          <w:sz w:val="24"/>
          <w:szCs w:val="24"/>
        </w:rPr>
        <w:t xml:space="preserve">Риояи марзи бехатарии OT: воситаҳои мониторинг ва симулятор ҳуқуқи идораи таҷҳизоти саноатиро надоранд.</w:t>
      </w:r>
    </w:p>
    <w:p>
      <w:pPr>
        <w:pStyle w:val="ListParagraph"/>
        <w:numPr>
          <w:ilvl w:val="0"/>
          <w:numId w:val="2"/>
        </w:numPr>
        <w:spacing w:after="60" w:line="312"/>
        <w:jc w:val="both"/>
      </w:pPr>
      <w:r>
        <w:rPr>
          <w:rFonts w:ascii="Times New Roman" w:hAnsi="Times New Roman"/>
          <w:color w:val="000000"/>
          <w:sz w:val="24"/>
          <w:szCs w:val="24"/>
        </w:rPr>
        <w:t xml:space="preserve">Пӯшониши хуби код бо санҷишҳо (зиёда аз 50 санҷиши воҳидӣ) ва мавҷудияти маҷмӯи пурраи ҳуҷҷатҳо: нақшаи генералии рушд, каталоги ҳассосҳо, вазифаи техникӣ, тавсифи техникӣ ва роҳномаи истифода.</w:t>
      </w:r>
    </w:p>
    <w:p>
      <w:pPr>
        <w:spacing w:after="100" w:before="120" w:line="312"/>
        <w:ind w:firstLine="709"/>
        <w:jc w:val="both"/>
      </w:pPr>
      <w:r>
        <w:rPr>
          <w:rFonts w:ascii="Times New Roman" w:hAnsi="Times New Roman"/>
          <w:b/>
          <w:bCs/>
          <w:color w:val="000000"/>
          <w:sz w:val="24"/>
          <w:szCs w:val="24"/>
        </w:rPr>
        <w:t xml:space="preserve">Мулоҳизаҳо ва тавсияҳо:</w:t>
      </w:r>
    </w:p>
    <w:p>
      <w:pPr>
        <w:pStyle w:val="ListParagraph"/>
        <w:numPr>
          <w:ilvl w:val="0"/>
          <w:numId w:val="3"/>
        </w:numPr>
        <w:spacing w:after="60" w:line="312"/>
        <w:jc w:val="both"/>
      </w:pPr>
      <w:r>
        <w:rPr>
          <w:rFonts w:ascii="Times New Roman" w:hAnsi="Times New Roman"/>
          <w:color w:val="000000"/>
          <w:sz w:val="24"/>
          <w:szCs w:val="24"/>
        </w:rPr>
        <w:t xml:space="preserve">Ҳангоми гузариш ба истеҳсолот захирагии базаи PostgreSQL ва низоми нусхаҳои эҳтиётии маълумот пешбинӣ гардад.</w:t>
      </w:r>
    </w:p>
    <w:p>
      <w:pPr>
        <w:pStyle w:val="ListParagraph"/>
        <w:numPr>
          <w:ilvl w:val="0"/>
          <w:numId w:val="3"/>
        </w:numPr>
        <w:spacing w:after="60" w:line="312"/>
        <w:jc w:val="both"/>
      </w:pPr>
      <w:r>
        <w:rPr>
          <w:rFonts w:ascii="Times New Roman" w:hAnsi="Times New Roman"/>
          <w:color w:val="000000"/>
          <w:sz w:val="24"/>
          <w:szCs w:val="24"/>
        </w:rPr>
        <w:t xml:space="preserve">Санҷиши боркунӣ барои шлюз ва API дар ҳаҷми мақсадноки ҳассосҳо гузаронда шавад.</w:t>
      </w:r>
    </w:p>
    <w:p>
      <w:pPr>
        <w:pStyle w:val="ListParagraph"/>
        <w:numPr>
          <w:ilvl w:val="0"/>
          <w:numId w:val="3"/>
        </w:numPr>
        <w:spacing w:after="60" w:line="312"/>
        <w:jc w:val="both"/>
      </w:pPr>
      <w:r>
        <w:rPr>
          <w:rFonts w:ascii="Times New Roman" w:hAnsi="Times New Roman"/>
          <w:color w:val="000000"/>
          <w:sz w:val="24"/>
          <w:szCs w:val="24"/>
        </w:rPr>
        <w:t xml:space="preserve">Озмоиши саноатии пайвасти ба контроллерҳои воқеӣ бо иштироки хидмати бехатарии саноатӣ анҷом дода шавад.</w:t>
      </w:r>
    </w:p>
    <w:p>
      <w:pPr>
        <w:spacing w:after="120" w:before="120" w:line="312"/>
        <w:ind w:firstLine="709"/>
        <w:jc w:val="both"/>
      </w:pPr>
      <w:r>
        <w:rPr>
          <w:rFonts w:ascii="Times New Roman" w:hAnsi="Times New Roman"/>
          <w:b/>
          <w:bCs/>
          <w:color w:val="000000"/>
          <w:sz w:val="24"/>
          <w:szCs w:val="24"/>
        </w:rPr>
        <w:t xml:space="preserve">Хулоса. </w:t>
      </w:r>
      <w:r>
        <w:rPr>
          <w:rFonts w:ascii="Times New Roman" w:hAnsi="Times New Roman"/>
          <w:color w:val="000000"/>
          <w:sz w:val="24"/>
          <w:szCs w:val="24"/>
        </w:rPr>
        <w:t xml:space="preserve">Лоиҳаи CAP кори пурра ва аз ҷиҳати техникӣ сатҳбаланд аст: вазифаҳои гузошташуда ҳал шудаанд, маҷмӯи ҳуҷҷатҳо ва санҷишҳо вазъи хуби лоиҳаро тасдиқ мекунанд. Платформа барои истифода дар корхонаҳои коркарди маъдан тавсия мешавад. Кор баҳои «аъло» сазовор аст.</w:t>
      </w:r>
    </w:p>
    <w:p>
      <w:pPr>
        <w:spacing w:after="40" w:before="480" w:line="312"/>
      </w:pPr>
      <w:r>
        <w:rPr>
          <w:rFonts w:ascii="Times New Roman" w:hAnsi="Times New Roman"/>
          <w:color w:val="000000"/>
          <w:sz w:val="24"/>
          <w:szCs w:val="24"/>
        </w:rPr>
        <w:t xml:space="preserve">Рецензент: _________________________ /_____________________________/</w:t>
      </w:r>
    </w:p>
    <w:p>
      <w:pPr>
        <w:spacing w:after="40" w:line="312"/>
      </w:pPr>
      <w:r>
        <w:rPr>
          <w:rFonts w:ascii="Times New Roman" w:hAnsi="Times New Roman"/>
          <w:color w:val="000000"/>
          <w:sz w:val="24"/>
          <w:szCs w:val="24"/>
        </w:rPr>
        <w:t xml:space="preserve">(нақш, ном, номпудак, имзо)                    «____» ______________ 2026 г.</w:t>
      </w:r>
    </w:p>
    <w:p>
      <w:pPr>
        <w:sectPr>
          <w:footerReference w:type="default" r:id="rId7"/>
          <w:pgSz w:w="11906" w:h="16838" w:orient="portrait"/>
          <w:pgMar w:top="1134" w:right="850" w:bottom="1134" w:left="1701" w:header="708" w:footer="708" w:gutter="0"/>
          <w:pgNumType/>
          <w:docGrid w:linePitch="360"/>
        </w:sectPr>
      </w:pPr>
    </w:p>
    <w:p>
      <w:pPr>
        <w:pStyle w:val="Heading1"/>
        <w:spacing w:after="60" w:before="120" w:line="312"/>
        <w:jc w:val="center"/>
      </w:pPr>
      <w:r>
        <w:rPr>
          <w:rFonts w:ascii="Times New Roman" w:hAnsi="Times New Roman"/>
          <w:b/>
          <w:bCs/>
          <w:color w:val="000000"/>
          <w:sz w:val="32"/>
          <w:szCs w:val="32"/>
        </w:rPr>
        <w:t xml:space="preserve">РЕЦЕНЗИЯ</w:t>
      </w:r>
    </w:p>
    <w:p>
      <w:pPr>
        <w:spacing w:after="240" w:line="312"/>
        <w:jc w:val="center"/>
      </w:pPr>
      <w:r>
        <w:rPr>
          <w:rFonts w:ascii="Times New Roman" w:hAnsi="Times New Roman"/>
          <w:i/>
          <w:iCs/>
          <w:color w:val="555555"/>
          <w:sz w:val="22"/>
          <w:szCs w:val="22"/>
        </w:rPr>
        <w:t xml:space="preserve">на русском языке</w:t>
      </w:r>
    </w:p>
    <w:p>
      <w:pPr>
        <w:spacing w:after="280" w:line="312"/>
        <w:ind w:left="400" w:right="400"/>
        <w:jc w:val="center"/>
      </w:pPr>
      <w:r>
        <w:rPr>
          <w:rFonts w:ascii="Times New Roman" w:hAnsi="Times New Roman"/>
          <w:i/>
          <w:iCs/>
          <w:color w:val="333333"/>
          <w:sz w:val="22"/>
          <w:szCs w:val="22"/>
        </w:rPr>
        <w:t xml:space="preserve">на проект «Complex Automation Pro (CAP)» — платформу мониторинга технологических процессов обогатительной фабрики</w:t>
      </w:r>
    </w:p>
    <w:p>
      <w:pPr>
        <w:spacing w:after="120" w:before="120" w:line="312"/>
        <w:ind w:firstLine="709"/>
        <w:jc w:val="both"/>
      </w:pPr>
      <w:r>
        <w:rPr>
          <w:rFonts w:ascii="Times New Roman" w:hAnsi="Times New Roman"/>
          <w:b/>
          <w:bCs/>
          <w:color w:val="000000"/>
          <w:sz w:val="24"/>
          <w:szCs w:val="24"/>
        </w:rPr>
        <w:t xml:space="preserve">Актуальность темы. </w:t>
      </w:r>
      <w:r>
        <w:rPr>
          <w:rFonts w:ascii="Times New Roman" w:hAnsi="Times New Roman"/>
          <w:color w:val="000000"/>
          <w:sz w:val="24"/>
          <w:szCs w:val="24"/>
        </w:rPr>
        <w:t xml:space="preserve">Автоматизация и оперативный мониторинг технологических процессов переработки минерального сырья — от приёма руды до отгрузки концентрата — являются одним из ключевых направлений модернизации горно-металлургической отрасли. Проект CAP реализует единую платформу мониторинга: в одном процессе пользователю доступны панель управления, JSON API и потоковый WebSocket-канал реального времени. Такой подход упрощает работу с данными и снижает зависимость от разнородного проприетарного программного обеспечения.</w:t>
      </w:r>
    </w:p>
    <w:p>
      <w:pPr>
        <w:spacing w:after="120" w:before="120" w:line="312"/>
        <w:ind w:firstLine="709"/>
        <w:jc w:val="both"/>
      </w:pPr>
      <w:r>
        <w:rPr>
          <w:rFonts w:ascii="Times New Roman" w:hAnsi="Times New Roman"/>
          <w:b/>
          <w:bCs/>
          <w:color w:val="000000"/>
          <w:sz w:val="24"/>
          <w:szCs w:val="24"/>
        </w:rPr>
        <w:t xml:space="preserve">Краткая характеристика работы. </w:t>
      </w:r>
      <w:r>
        <w:rPr>
          <w:rFonts w:ascii="Times New Roman" w:hAnsi="Times New Roman"/>
          <w:color w:val="000000"/>
          <w:sz w:val="24"/>
          <w:szCs w:val="24"/>
        </w:rPr>
        <w:t xml:space="preserve">Платформа реализована на языке Go и собирается в единый статический бинарный файл, что упрощает развёртывание и сопровождение. Для хранения данных используются SQLite (демонстрационный режим) и PostgreSQL (промышленная эксплуатация). В состав системы входит пограничный шлюз (edge gateway) с локальным буферным хранилищем: при обрыве связи телеметрия накапливается на устройстве и после восстановления соединения в полном объёме досылается на сервер. Встроенный симулятор позволяет проверять и демонстрировать работу системы без подключения к реальному оборудованию. Веб-интерфейс выполнен на React, TypeScript и Vite, графики построены на библиотеке Recharts, предусмотрены светлая и тёмная темы.</w:t>
      </w:r>
    </w:p>
    <w:p>
      <w:pPr>
        <w:spacing w:after="100" w:before="120" w:line="312"/>
        <w:ind w:firstLine="709"/>
        <w:jc w:val="both"/>
      </w:pPr>
      <w:r>
        <w:rPr>
          <w:rFonts w:ascii="Times New Roman" w:hAnsi="Times New Roman"/>
          <w:b/>
          <w:bCs/>
          <w:color w:val="000000"/>
          <w:sz w:val="24"/>
          <w:szCs w:val="24"/>
        </w:rPr>
        <w:t xml:space="preserve">Достоинства проекта:</w:t>
      </w:r>
    </w:p>
    <w:p>
      <w:pPr>
        <w:pStyle w:val="ListParagraph"/>
        <w:numPr>
          <w:ilvl w:val="0"/>
          <w:numId w:val="4"/>
        </w:numPr>
        <w:spacing w:after="60" w:line="312"/>
        <w:jc w:val="both"/>
      </w:pPr>
      <w:r>
        <w:rPr>
          <w:rFonts w:ascii="Times New Roman" w:hAnsi="Times New Roman"/>
          <w:color w:val="000000"/>
          <w:sz w:val="24"/>
          <w:szCs w:val="24"/>
        </w:rPr>
        <w:t xml:space="preserve">Прозрачная модульная архитектура (api, gateway, store, service, simulator, control) с чётким разделением ответственности между компонентами.</w:t>
      </w:r>
    </w:p>
    <w:p>
      <w:pPr>
        <w:pStyle w:val="ListParagraph"/>
        <w:numPr>
          <w:ilvl w:val="0"/>
          <w:numId w:val="4"/>
        </w:numPr>
        <w:spacing w:after="60" w:line="312"/>
        <w:jc w:val="both"/>
      </w:pPr>
      <w:r>
        <w:rPr>
          <w:rFonts w:ascii="Times New Roman" w:hAnsi="Times New Roman"/>
          <w:color w:val="000000"/>
          <w:sz w:val="24"/>
          <w:szCs w:val="24"/>
        </w:rPr>
        <w:t xml:space="preserve">Поддержка промышленных протоколов Modbus, OPC UA и MQTT, что создаёт основу для интеграции с реальным производственным оборудованием.</w:t>
      </w:r>
    </w:p>
    <w:p>
      <w:pPr>
        <w:pStyle w:val="ListParagraph"/>
        <w:numPr>
          <w:ilvl w:val="0"/>
          <w:numId w:val="4"/>
        </w:numPr>
        <w:spacing w:after="60" w:line="312"/>
        <w:jc w:val="both"/>
      </w:pPr>
      <w:r>
        <w:rPr>
          <w:rFonts w:ascii="Times New Roman" w:hAnsi="Times New Roman"/>
          <w:color w:val="000000"/>
          <w:sz w:val="24"/>
          <w:szCs w:val="24"/>
        </w:rPr>
        <w:t xml:space="preserve">Соблюдение границы безопасности OT: средства мониторинга и симулятор не имеют права управлять технологическим оборудованием.</w:t>
      </w:r>
    </w:p>
    <w:p>
      <w:pPr>
        <w:pStyle w:val="ListParagraph"/>
        <w:numPr>
          <w:ilvl w:val="0"/>
          <w:numId w:val="4"/>
        </w:numPr>
        <w:spacing w:after="60" w:line="312"/>
        <w:jc w:val="both"/>
      </w:pPr>
      <w:r>
        <w:rPr>
          <w:rFonts w:ascii="Times New Roman" w:hAnsi="Times New Roman"/>
          <w:color w:val="000000"/>
          <w:sz w:val="24"/>
          <w:szCs w:val="24"/>
        </w:rPr>
        <w:t xml:space="preserve">Хорошее покрытие кода тестами (более 50 модульных проверок) и полный комплект документации: генеральный план развития, каталог датчиков, техническое задание, техническая спецификация и руководство по эксплуатации.</w:t>
      </w:r>
    </w:p>
    <w:p>
      <w:pPr>
        <w:spacing w:after="100" w:before="120" w:line="312"/>
        <w:ind w:firstLine="709"/>
        <w:jc w:val="both"/>
      </w:pPr>
      <w:r>
        <w:rPr>
          <w:rFonts w:ascii="Times New Roman" w:hAnsi="Times New Roman"/>
          <w:b/>
          <w:bCs/>
          <w:color w:val="000000"/>
          <w:sz w:val="24"/>
          <w:szCs w:val="24"/>
        </w:rPr>
        <w:t xml:space="preserve">Замечания и рекомендации:</w:t>
      </w:r>
    </w:p>
    <w:p>
      <w:pPr>
        <w:pStyle w:val="ListParagraph"/>
        <w:numPr>
          <w:ilvl w:val="0"/>
          <w:numId w:val="5"/>
        </w:numPr>
        <w:spacing w:after="60" w:line="312"/>
        <w:jc w:val="both"/>
      </w:pPr>
      <w:r>
        <w:rPr>
          <w:rFonts w:ascii="Times New Roman" w:hAnsi="Times New Roman"/>
          <w:color w:val="000000"/>
          <w:sz w:val="24"/>
          <w:szCs w:val="24"/>
        </w:rPr>
        <w:t xml:space="preserve">При переходе к промышленной эксплуатации предусмотреть резервирование базы данных PostgreSQL и регламент резервного копирования.</w:t>
      </w:r>
    </w:p>
    <w:p>
      <w:pPr>
        <w:pStyle w:val="ListParagraph"/>
        <w:numPr>
          <w:ilvl w:val="0"/>
          <w:numId w:val="5"/>
        </w:numPr>
        <w:spacing w:after="60" w:line="312"/>
        <w:jc w:val="both"/>
      </w:pPr>
      <w:r>
        <w:rPr>
          <w:rFonts w:ascii="Times New Roman" w:hAnsi="Times New Roman"/>
          <w:color w:val="000000"/>
          <w:sz w:val="24"/>
          <w:szCs w:val="24"/>
        </w:rPr>
        <w:t xml:space="preserve">Провести нагрузочное тестирование шлюза и API на целевом объёме датчиков.</w:t>
      </w:r>
    </w:p>
    <w:p>
      <w:pPr>
        <w:pStyle w:val="ListParagraph"/>
        <w:numPr>
          <w:ilvl w:val="0"/>
          <w:numId w:val="5"/>
        </w:numPr>
        <w:spacing w:after="60" w:line="312"/>
        <w:jc w:val="both"/>
      </w:pPr>
      <w:r>
        <w:rPr>
          <w:rFonts w:ascii="Times New Roman" w:hAnsi="Times New Roman"/>
          <w:color w:val="000000"/>
          <w:sz w:val="24"/>
          <w:szCs w:val="24"/>
        </w:rPr>
        <w:t xml:space="preserve">Выполнить опытно-промышленные испытания интеграции с реальными контроллерами с участием службы промышленной безопасности.</w:t>
      </w:r>
    </w:p>
    <w:p>
      <w:pPr>
        <w:spacing w:after="120" w:before="120" w:line="312"/>
        <w:ind w:firstLine="709"/>
        <w:jc w:val="both"/>
      </w:pPr>
      <w:r>
        <w:rPr>
          <w:rFonts w:ascii="Times New Roman" w:hAnsi="Times New Roman"/>
          <w:b/>
          <w:bCs/>
          <w:color w:val="000000"/>
          <w:sz w:val="24"/>
          <w:szCs w:val="24"/>
        </w:rPr>
        <w:t xml:space="preserve">Заключение. </w:t>
      </w:r>
      <w:r>
        <w:rPr>
          <w:rFonts w:ascii="Times New Roman" w:hAnsi="Times New Roman"/>
          <w:color w:val="000000"/>
          <w:sz w:val="24"/>
          <w:szCs w:val="24"/>
        </w:rPr>
        <w:t xml:space="preserve">Проект CAP представляет собой законченную, технически грамотную разработку. Поставленные задачи решены, качество подтверждается набором тестов и полной документацией. Платформа рекомендуется к использованию на предприятиях по переработке минерального сырья. Работа заслуживает оценки «отлично».</w:t>
      </w:r>
    </w:p>
    <w:p>
      <w:pPr>
        <w:spacing w:after="40" w:before="480" w:line="312"/>
      </w:pPr>
      <w:r>
        <w:rPr>
          <w:rFonts w:ascii="Times New Roman" w:hAnsi="Times New Roman"/>
          <w:color w:val="000000"/>
          <w:sz w:val="24"/>
          <w:szCs w:val="24"/>
        </w:rPr>
        <w:t xml:space="preserve">Рецензент: _________________________ /_____________________________/</w:t>
      </w:r>
    </w:p>
    <w:p>
      <w:pPr>
        <w:spacing w:after="40" w:line="312"/>
      </w:pPr>
      <w:r>
        <w:rPr>
          <w:rFonts w:ascii="Times New Roman" w:hAnsi="Times New Roman"/>
          <w:color w:val="000000"/>
          <w:sz w:val="24"/>
          <w:szCs w:val="24"/>
        </w:rPr>
        <w:t xml:space="preserve">(должность, Ф.И.О., подпись)                   «____» ______________ 2026 г.</w:t>
      </w:r>
    </w:p>
    <w:p>
      <w:pPr>
        <w:sectPr>
          <w:footerReference w:type="default" r:id="rId8"/>
          <w:pgSz w:w="11906" w:h="16838" w:orient="portrait"/>
          <w:pgMar w:top="1134" w:right="850" w:bottom="1134" w:left="1701" w:header="708" w:footer="708" w:gutter="0"/>
          <w:pgNumType/>
          <w:docGrid w:linePitch="360"/>
        </w:sectPr>
      </w:pPr>
    </w:p>
    <w:p>
      <w:pPr>
        <w:pStyle w:val="Heading1"/>
        <w:spacing w:after="60" w:before="120" w:line="312"/>
        <w:jc w:val="center"/>
      </w:pPr>
      <w:r>
        <w:rPr>
          <w:rFonts w:ascii="Times New Roman" w:hAnsi="Times New Roman"/>
          <w:b/>
          <w:bCs/>
          <w:color w:val="000000"/>
          <w:sz w:val="32"/>
          <w:szCs w:val="32"/>
        </w:rPr>
        <w:t xml:space="preserve">REVIEW</w:t>
      </w:r>
    </w:p>
    <w:p>
      <w:pPr>
        <w:spacing w:after="240" w:line="312"/>
        <w:jc w:val="center"/>
      </w:pPr>
      <w:r>
        <w:rPr>
          <w:rFonts w:ascii="Times New Roman" w:hAnsi="Times New Roman"/>
          <w:i/>
          <w:iCs/>
          <w:color w:val="555555"/>
          <w:sz w:val="22"/>
          <w:szCs w:val="22"/>
        </w:rPr>
        <w:t xml:space="preserve">in English</w:t>
      </w:r>
    </w:p>
    <w:p>
      <w:pPr>
        <w:spacing w:after="280" w:line="312"/>
        <w:ind w:left="400" w:right="400"/>
        <w:jc w:val="center"/>
      </w:pPr>
      <w:r>
        <w:rPr>
          <w:rFonts w:ascii="Times New Roman" w:hAnsi="Times New Roman"/>
          <w:i/>
          <w:iCs/>
          <w:color w:val="333333"/>
          <w:sz w:val="22"/>
          <w:szCs w:val="22"/>
        </w:rPr>
        <w:t xml:space="preserve">of the project “Complex Automation Pro (CAP)” — a vendor-neutral monitoring platform for mineral-processing operations</w:t>
      </w:r>
    </w:p>
    <w:p>
      <w:pPr>
        <w:spacing w:after="120" w:before="120" w:line="312"/>
        <w:ind w:firstLine="709"/>
        <w:jc w:val="both"/>
      </w:pPr>
      <w:r>
        <w:rPr>
          <w:rFonts w:ascii="Times New Roman" w:hAnsi="Times New Roman"/>
          <w:b/>
          <w:bCs/>
          <w:color w:val="000000"/>
          <w:sz w:val="24"/>
          <w:szCs w:val="24"/>
        </w:rPr>
        <w:t xml:space="preserve">Relevance of the topic. </w:t>
      </w:r>
      <w:r>
        <w:rPr>
          <w:rFonts w:ascii="Times New Roman" w:hAnsi="Times New Roman"/>
          <w:color w:val="000000"/>
          <w:sz w:val="24"/>
          <w:szCs w:val="24"/>
        </w:rPr>
        <w:t xml:space="preserve">Automation and real-time monitoring of mineral-processing operations — from ore receiving through crushing, grinding and flotation to thickening, filtration and concentrate dispatch — is one of the key directions in the modernisation of the mining and metallurgical industry. The CAP project delivers a single unified monitoring platform: within one process the user gets a web dashboard, a JSON API and a real-time WebSocket feed. This unified approach simplifies data handling and reduces dependence on heterogeneous proprietary software.</w:t>
      </w:r>
    </w:p>
    <w:p>
      <w:pPr>
        <w:spacing w:after="120" w:before="120" w:line="312"/>
        <w:ind w:firstLine="709"/>
        <w:jc w:val="both"/>
      </w:pPr>
      <w:r>
        <w:rPr>
          <w:rFonts w:ascii="Times New Roman" w:hAnsi="Times New Roman"/>
          <w:b/>
          <w:bCs/>
          <w:color w:val="000000"/>
          <w:sz w:val="24"/>
          <w:szCs w:val="24"/>
        </w:rPr>
        <w:t xml:space="preserve">Summary of the work. </w:t>
      </w:r>
      <w:r>
        <w:rPr>
          <w:rFonts w:ascii="Times New Roman" w:hAnsi="Times New Roman"/>
          <w:color w:val="000000"/>
          <w:sz w:val="24"/>
          <w:szCs w:val="24"/>
        </w:rPr>
        <w:t xml:space="preserve">The platform is written in Go and built as a single static binary, which simplifies deployment and maintenance. SQLite is used for the demo configuration and PostgreSQL for production. The system includes an edge gateway with a local buffer database: when the connection to the server is lost, telemetry is accumulated on the device and forwarded in full once the link is restored. A built-in simulator makes it possible to test and demonstrate the system without real equipment. The web interface is built on React, TypeScript and Vite, with charts rendered by Recharts; both light and dark themes are provided.</w:t>
      </w:r>
    </w:p>
    <w:p>
      <w:pPr>
        <w:spacing w:after="100" w:before="120" w:line="312"/>
        <w:ind w:firstLine="709"/>
        <w:jc w:val="both"/>
      </w:pPr>
      <w:r>
        <w:rPr>
          <w:rFonts w:ascii="Times New Roman" w:hAnsi="Times New Roman"/>
          <w:b/>
          <w:bCs/>
          <w:color w:val="000000"/>
          <w:sz w:val="24"/>
          <w:szCs w:val="24"/>
        </w:rPr>
        <w:t xml:space="preserve">Strengths of the project:</w:t>
      </w:r>
    </w:p>
    <w:p>
      <w:pPr>
        <w:pStyle w:val="ListParagraph"/>
        <w:numPr>
          <w:ilvl w:val="0"/>
          <w:numId w:val="6"/>
        </w:numPr>
        <w:spacing w:after="60" w:line="312"/>
        <w:jc w:val="both"/>
      </w:pPr>
      <w:r>
        <w:rPr>
          <w:rFonts w:ascii="Times New Roman" w:hAnsi="Times New Roman"/>
          <w:color w:val="000000"/>
          <w:sz w:val="24"/>
          <w:szCs w:val="24"/>
        </w:rPr>
        <w:t xml:space="preserve">Clear modular architecture (api, gateway, store, service, simulator, control) with a clean separation of responsibilities between components.</w:t>
      </w:r>
    </w:p>
    <w:p>
      <w:pPr>
        <w:pStyle w:val="ListParagraph"/>
        <w:numPr>
          <w:ilvl w:val="0"/>
          <w:numId w:val="6"/>
        </w:numPr>
        <w:spacing w:after="60" w:line="312"/>
        <w:jc w:val="both"/>
      </w:pPr>
      <w:r>
        <w:rPr>
          <w:rFonts w:ascii="Times New Roman" w:hAnsi="Times New Roman"/>
          <w:color w:val="000000"/>
          <w:sz w:val="24"/>
          <w:szCs w:val="24"/>
        </w:rPr>
        <w:t xml:space="preserve">Support for industrial protocols Modbus, OPC UA and MQTT, which provides a basis for integration with real production equipment.</w:t>
      </w:r>
    </w:p>
    <w:p>
      <w:pPr>
        <w:pStyle w:val="ListParagraph"/>
        <w:numPr>
          <w:ilvl w:val="0"/>
          <w:numId w:val="6"/>
        </w:numPr>
        <w:spacing w:after="60" w:line="312"/>
        <w:jc w:val="both"/>
      </w:pPr>
      <w:r>
        <w:rPr>
          <w:rFonts w:ascii="Times New Roman" w:hAnsi="Times New Roman"/>
          <w:color w:val="000000"/>
          <w:sz w:val="24"/>
          <w:szCs w:val="24"/>
        </w:rPr>
        <w:t xml:space="preserve">Respect for the OT safety boundary: monitoring components and the simulator are not authorised to control industrial equipment.</w:t>
      </w:r>
    </w:p>
    <w:p>
      <w:pPr>
        <w:pStyle w:val="ListParagraph"/>
        <w:numPr>
          <w:ilvl w:val="0"/>
          <w:numId w:val="6"/>
        </w:numPr>
        <w:spacing w:after="60" w:line="312"/>
        <w:jc w:val="both"/>
      </w:pPr>
      <w:r>
        <w:rPr>
          <w:rFonts w:ascii="Times New Roman" w:hAnsi="Times New Roman"/>
          <w:color w:val="000000"/>
          <w:sz w:val="24"/>
          <w:szCs w:val="24"/>
        </w:rPr>
        <w:t xml:space="preserve">Good test coverage of the code (more than 50 unit checks) and a complete documentation set: master plan, sensor catalogue, development task specification, technical specification and an operating manual.</w:t>
      </w:r>
    </w:p>
    <w:p>
      <w:pPr>
        <w:spacing w:after="100" w:before="120" w:line="312"/>
        <w:ind w:firstLine="709"/>
        <w:jc w:val="both"/>
      </w:pPr>
      <w:r>
        <w:rPr>
          <w:rFonts w:ascii="Times New Roman" w:hAnsi="Times New Roman"/>
          <w:b/>
          <w:bCs/>
          <w:color w:val="000000"/>
          <w:sz w:val="24"/>
          <w:szCs w:val="24"/>
        </w:rPr>
        <w:t xml:space="preserve">Remarks and recommendations:</w:t>
      </w:r>
    </w:p>
    <w:p>
      <w:pPr>
        <w:pStyle w:val="ListParagraph"/>
        <w:numPr>
          <w:ilvl w:val="0"/>
          <w:numId w:val="7"/>
        </w:numPr>
        <w:spacing w:after="60" w:line="312"/>
        <w:jc w:val="both"/>
      </w:pPr>
      <w:r>
        <w:rPr>
          <w:rFonts w:ascii="Times New Roman" w:hAnsi="Times New Roman"/>
          <w:color w:val="000000"/>
          <w:sz w:val="24"/>
          <w:szCs w:val="24"/>
        </w:rPr>
        <w:t xml:space="preserve">When moving to production, provide redundancy for the PostgreSQL database and a regular backup procedure.</w:t>
      </w:r>
    </w:p>
    <w:p>
      <w:pPr>
        <w:pStyle w:val="ListParagraph"/>
        <w:numPr>
          <w:ilvl w:val="0"/>
          <w:numId w:val="7"/>
        </w:numPr>
        <w:spacing w:after="60" w:line="312"/>
        <w:jc w:val="both"/>
      </w:pPr>
      <w:r>
        <w:rPr>
          <w:rFonts w:ascii="Times New Roman" w:hAnsi="Times New Roman"/>
          <w:color w:val="000000"/>
          <w:sz w:val="24"/>
          <w:szCs w:val="24"/>
        </w:rPr>
        <w:t xml:space="preserve">Perform load testing of the gateway and the API at the target sensor scale.</w:t>
      </w:r>
    </w:p>
    <w:p>
      <w:pPr>
        <w:pStyle w:val="ListParagraph"/>
        <w:numPr>
          <w:ilvl w:val="0"/>
          <w:numId w:val="7"/>
        </w:numPr>
        <w:spacing w:after="60" w:line="312"/>
        <w:jc w:val="both"/>
      </w:pPr>
      <w:r>
        <w:rPr>
          <w:rFonts w:ascii="Times New Roman" w:hAnsi="Times New Roman"/>
          <w:color w:val="000000"/>
          <w:sz w:val="24"/>
          <w:szCs w:val="24"/>
        </w:rPr>
        <w:t xml:space="preserve">Carry out pilot industrial trials of the integration with real controllers, involving the industrial safety service.</w:t>
      </w:r>
    </w:p>
    <w:p>
      <w:pPr>
        <w:spacing w:after="120" w:before="120" w:line="312"/>
        <w:ind w:firstLine="709"/>
        <w:jc w:val="both"/>
      </w:pPr>
      <w:r>
        <w:rPr>
          <w:rFonts w:ascii="Times New Roman" w:hAnsi="Times New Roman"/>
          <w:b/>
          <w:bCs/>
          <w:color w:val="000000"/>
          <w:sz w:val="24"/>
          <w:szCs w:val="24"/>
        </w:rPr>
        <w:t xml:space="preserve">Conclusion. </w:t>
      </w:r>
      <w:r>
        <w:rPr>
          <w:rFonts w:ascii="Times New Roman" w:hAnsi="Times New Roman"/>
          <w:color w:val="000000"/>
          <w:sz w:val="24"/>
          <w:szCs w:val="24"/>
        </w:rPr>
        <w:t xml:space="preserve">The CAP project is a complete and technically sound piece of engineering. The stated objectives have been met, and the quality is supported by the test suite and full documentation. The platform is recommended for use at mineral-processing enterprises. The work deserves the highest mark.</w:t>
      </w:r>
    </w:p>
    <w:p>
      <w:pPr>
        <w:spacing w:after="40" w:before="480" w:line="312"/>
      </w:pPr>
      <w:r>
        <w:rPr>
          <w:rFonts w:ascii="Times New Roman" w:hAnsi="Times New Roman"/>
          <w:color w:val="000000"/>
          <w:sz w:val="24"/>
          <w:szCs w:val="24"/>
        </w:rPr>
        <w:t xml:space="preserve">Reviewer: __________________________ /______________________________/</w:t>
      </w:r>
    </w:p>
    <w:p>
      <w:pPr>
        <w:spacing w:after="40" w:line="312"/>
      </w:pPr>
      <w:r>
        <w:rPr>
          <w:rFonts w:ascii="Times New Roman" w:hAnsi="Times New Roman"/>
          <w:color w:val="000000"/>
          <w:sz w:val="24"/>
          <w:szCs w:val="24"/>
        </w:rPr>
        <w:t xml:space="preserve">(position, full name, signature)                 “____” ______________ 2026</w:t>
      </w:r>
    </w:p>
    <w:sectPr>
      <w:footerReference w:type="default" r:id="rId9"/>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color w:val="88888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2026-09-10T10:37:47.227Z</dcterms:created>
  <dcterms:modified xsi:type="dcterms:W3CDTF">2026-09-10T10:37:47.228Z</dcterms:modified>
</cp:coreProperties>
</file>

<file path=docProps/custom.xml><?xml version="1.0" encoding="utf-8"?>
<Properties xmlns="http://schemas.openxmlformats.org/officeDocument/2006/custom-properties" xmlns:vt="http://schemas.openxmlformats.org/officeDocument/2006/docPropsVTypes"/>
</file>