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Рецензия преподавателя Академии наук Республики Таджикистан</w:t>
      </w:r>
    </w:p>
    <w:p>
      <w:r/>
      <w:r>
        <w:rPr>
          <w:b/>
        </w:rPr>
        <w:t>Наименование системы:</w:t>
      </w:r>
      <w:r>
        <w:t xml:space="preserve"> CAP (Complex Automation Pro) – модульная SCADA‑система оперативного диспетчерского контроля и управления участком флотационного обогащения руды.</w:t>
      </w:r>
    </w:p>
    <w:p>
      <w:r/>
      <w:r>
        <w:rPr>
          <w:b/>
        </w:rPr>
        <w:t>Оценка:</w:t>
      </w:r>
      <w:r>
        <w:t xml:space="preserve"> Высокая (отлично), с замечаниями и рекомендациями.</w:t>
      </w:r>
    </w:p>
    <w:p>
      <w:pPr>
        <w:pStyle w:val="Heading1"/>
      </w:pPr>
      <w:r>
        <w:t>Краткое содержание</w:t>
      </w:r>
    </w:p>
    <w:p>
      <w:r>
        <w:t>Система CAP представляет собой целостный пример интеграции современных методов промышленной автоматизации, обработки данных и интеллектуального управления в горно‑обогатительном производстве. С точки зрения педагогической и научной деятельности отмечаются следующие сильные стороны:</w:t>
      </w:r>
    </w:p>
    <w:p>
      <w:pPr>
        <w:pStyle w:val="ListNumber"/>
      </w:pPr>
      <w:r/>
      <w:r>
        <w:rPr>
          <w:b/>
        </w:rPr>
        <w:t>Образовательная ценность.</w:t>
      </w:r>
      <w:r>
        <w:t xml:space="preserve"> Система охватывает полный цикл дисциплин подготовки инженера‑автоматизатора: SCADA‑визуализация и синоптические мнемосхемы, супервизорное ПИД‑регулирование, обработка тревог по ISA‑18.2, историзация данных и аудит действий операторов. Каждый из этих блоков может использоваться как самостоятельная лабораторная работа.</w:t>
      </w:r>
    </w:p>
    <w:p>
      <w:pPr>
        <w:pStyle w:val="ListNumber"/>
      </w:pPr>
      <w:r/>
      <w:r>
        <w:rPr>
          <w:b/>
        </w:rPr>
        <w:t>Научная новизна.</w:t>
      </w:r>
      <w:r>
        <w:t xml:space="preserve"> Гибкая архитектура размещения регулирующих алгоритмов — на центральном сервере, внешних ПЛК или микроконтроллерах ESP32 через единый контракт ingest — представляет интерес для исследований распределённых систем управления и адаптивного регулирования.</w:t>
      </w:r>
    </w:p>
    <w:p>
      <w:pPr>
        <w:pStyle w:val="ListNumber"/>
      </w:pPr>
      <w:r/>
      <w:r>
        <w:rPr>
          <w:b/>
        </w:rPr>
        <w:t>Прозрачность расчётов.</w:t>
      </w:r>
      <w:r>
        <w:t xml:space="preserve"> Каждый показатель металлургического баланса сопровождается строкой формулы и тегами‑источниками, что позволяет студентам отслеживать происхождение данных и проверять корректность вычислений — редкое для учебных систем качество аудируемости.</w:t>
      </w:r>
    </w:p>
    <w:p>
      <w:pPr>
        <w:pStyle w:val="ListNumber"/>
      </w:pPr>
      <w:r/>
      <w:r>
        <w:rPr>
          <w:b/>
        </w:rPr>
        <w:t>Соответствие стандартам.</w:t>
      </w:r>
      <w:r>
        <w:t xml:space="preserve"> Реализация тревог по ISA‑18.2 с рационализированными уставками, задержками и гистерезисом, а также RBAC и криптографически защищённый журнал аудита служат образцовыми примерами для курсов по промышленной безопасности и защите информации.</w:t>
      </w:r>
    </w:p>
    <w:p>
      <w:pPr>
        <w:pStyle w:val="ListNumber"/>
      </w:pPr>
      <w:r/>
      <w:r>
        <w:rPr>
          <w:b/>
        </w:rPr>
        <w:t>Воспроизводимость.</w:t>
      </w:r>
      <w:r>
        <w:t xml:space="preserve"> Демонстрационный режим с эмуляцией технологического процесса позволяет развернуть систему в учебной лаборатории без подключения к реальному оборудованию.</w:t>
      </w:r>
    </w:p>
    <w:p>
      <w:pPr>
        <w:pStyle w:val="Heading1"/>
      </w:pPr>
      <w:r>
        <w:t>Замечания и рекомендации</w:t>
      </w:r>
    </w:p>
    <w:p>
      <w:r>
        <w:t>Для использования системы в учебном процессе для внедрения в учебный процесс рекомендуется:</w:t>
      </w:r>
    </w:p>
    <w:p>
      <w:pPr>
        <w:pStyle w:val="ListNumber"/>
      </w:pPr>
      <w:r/>
      <w:r>
        <w:rPr>
          <w:b/>
        </w:rPr>
        <w:t>Подготовить учебно‑методический комплекс:</w:t>
      </w:r>
      <w:r>
        <w:t xml:space="preserve"> лабораторный практикум (не менее 5–7 работ) и методические указания преподавателю, привязанные к существующим модулям системы.</w:t>
      </w:r>
    </w:p>
    <w:p>
      <w:pPr>
        <w:pStyle w:val="ListNumber"/>
      </w:pPr>
      <w:r/>
      <w:r>
        <w:rPr>
          <w:b/>
        </w:rPr>
        <w:t>Добавить режим «обучающий сценарий» с пошаговыми подсказками</w:t>
      </w:r>
      <w:r>
        <w:t>, позволяющий студенту без опыта работы в SCADA самостоятельно пройти типовой цикл: запуск → контроль параметров → реакция на тревогу → квитирование.</w:t>
      </w:r>
    </w:p>
    <w:p>
      <w:pPr>
        <w:pStyle w:val="ListNumber"/>
      </w:pPr>
      <w:r/>
      <w:r>
        <w:rPr>
          <w:b/>
        </w:rPr>
        <w:t>Ограничить роли для учебных стендов:</w:t>
      </w:r>
      <w:r>
        <w:t xml:space="preserve"> выделенная роль «студент» с возможностью безопасного отклонения параметров без влияния на реальные уставки (soft‑sandbox).</w:t>
      </w:r>
    </w:p>
    <w:p>
      <w:pPr>
        <w:pStyle w:val="ListNumber"/>
      </w:pPr>
      <w:r/>
      <w:r>
        <w:rPr>
          <w:b/>
        </w:rPr>
        <w:t>Локализовать интерфейс и документацию</w:t>
      </w:r>
      <w:r>
        <w:t xml:space="preserve"> на таджикский и русский языки полностью, включая тексты тревог и сообщений об ошибках.</w:t>
      </w:r>
    </w:p>
    <w:p>
      <w:pPr>
        <w:pStyle w:val="ListNumber"/>
      </w:pPr>
      <w:r/>
      <w:r>
        <w:rPr>
          <w:b/>
        </w:rPr>
        <w:t>Включить систему в учебные лаборатории</w:t>
      </w:r>
      <w:r>
        <w:t xml:space="preserve"> Академии наук и профильных вузов Республики Таджикистан в пилотном режиме на одном семестр, с последующей оценкой результатов обучения.</w:t>
      </w:r>
    </w:p>
    <w:p>
      <w:pPr>
        <w:pStyle w:val="Heading1"/>
      </w:pPr>
      <w:r>
        <w:t>Вывод</w:t>
      </w:r>
    </w:p>
    <w:p>
      <w:r>
        <w:t>CAP отвечает промышленным требованиям и одновременно является сильным образовательным и научным ресурсом. После выполнения указанных рекомендаций система рекомендуется к включению в учебный процесс Академии наук Республики Таджикистан и профильных высших учебных заведений для подготовки специалистов по автоматизации горно‑обогатительных производств.</w:t>
      </w:r>
    </w:p>
    <w:p>
      <w:r/>
      <w:r>
        <w:rPr>
          <w:b/>
        </w:rPr>
        <w:t>Подпись:</w:t>
      </w:r>
      <w:r/>
    </w:p>
    <w:p>
      <w:r>
        <w:t>Преподаватель Академии наук Республики Таджикистан</w:t>
      </w:r>
    </w:p>
    <w:p>
      <w:r>
        <w:t>Дата: 14 сентября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