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</w:tcPr>
          <w:p>
            <w:pPr>
              <w:spacing w:before="4092"/>
            </w:pPr>
          </w:p>
          <w:p>
            <w:pPr>
              <w:pBdr>
                <w:bottom w:val="single" w:color="38BDF8" w:sz="6" w:space="8"/>
              </w:pBdr>
              <w:spacing w:after="500"/>
              <w:ind w:left="1200" w:right="800"/>
            </w:pPr>
            <w:r>
              <w:rPr>
                <w:rFonts w:ascii="Times New Roman" w:hAnsi="Times New Roman"/>
                <w:color w:val="38BDF8"/>
                <w:spacing w:val="40"/>
                <w:sz w:val="18"/>
                <w:szCs w:val="18"/>
              </w:rPr>
              <w:t xml:space="preserve">T  E  C  H  N  I  C  A  L     P  A  S  S  P  O  R  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80"/>
                <w:szCs w:val="80"/>
              </w:rPr>
              <w:t xml:space="preserve">CAP — Технический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80"/>
                <w:szCs w:val="80"/>
              </w:rPr>
              <w:t xml:space="preserve">паспорт</w:t>
            </w:r>
          </w:p>
          <w:p>
            <w:pPr>
              <w:spacing w:after="800" w:line="312"/>
              <w:ind w:left="1200" w:right="800"/>
            </w:pPr>
            <w:r>
              <w:rPr>
                <w:rFonts w:ascii="Times New Roman" w:hAnsi="Times New Roman"/>
                <w:color w:val="B8C4D4"/>
                <w:sz w:val="24"/>
                <w:szCs w:val="24"/>
              </w:rPr>
              <w:t xml:space="preserve">Система оперативного диспетчерского контроля и управления участком флотационного обогащения руды</w:t>
            </w:r>
          </w:p>
          <w:p>
            <w:pPr>
              <w:pBdr>
                <w:left w:val="single" w:color="38BDF8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5DEEA"/>
                <w:sz w:val="24"/>
                <w:szCs w:val="24"/>
              </w:rPr>
              <w:t xml:space="preserve">Класс системы: SCADA — HMI, историк, супервизорное управление</w:t>
            </w:r>
          </w:p>
          <w:p>
            <w:pPr>
              <w:pBdr>
                <w:left w:val="single" w:color="38BDF8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5DEEA"/>
                <w:sz w:val="24"/>
                <w:szCs w:val="24"/>
              </w:rPr>
              <w:t xml:space="preserve">Состав: capd (сервер-монолит) · edge (шлюз сбора) · plantsim (стенд)</w:t>
            </w:r>
          </w:p>
          <w:p>
            <w:pPr>
              <w:pBdr>
                <w:left w:val="single" w:color="38BDF8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5DEEA"/>
                <w:sz w:val="24"/>
                <w:szCs w:val="24"/>
              </w:rPr>
              <w:t xml:space="preserve">Версия документа: 2.0 (пересмотр по состоянию кода)</w:t>
            </w:r>
          </w:p>
          <w:p>
            <w:pPr>
              <w:pBdr>
                <w:left w:val="single" w:color="38BDF8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5DEEA"/>
                <w:sz w:val="24"/>
                <w:szCs w:val="24"/>
              </w:rPr>
              <w:t xml:space="preserve">Дата выпуска: сентябрь 2026 г.</w:t>
            </w:r>
          </w:p>
          <w:p>
            <w:pPr>
              <w:spacing w:before="4092"/>
            </w:pPr>
          </w:p>
          <w:p>
            <w:pPr>
              <w:pBdr>
                <w:top w:val="single" w:color="38BDF8" w:sz="2" w:space="8"/>
              </w:pBdr>
              <w:spacing w:before="200"/>
              <w:ind w:left="1200" w:right="800"/>
            </w:pPr>
            <w:r>
              <w:rPr>
                <w:rFonts w:ascii="Times New Roman" w:hAnsi="Times New Roman"/>
                <w:color w:val="7C8DA6"/>
                <w:sz w:val="16"/>
                <w:szCs w:val="16"/>
              </w:rPr>
              <w:t xml:space="preserve">CAP — Complex Automation Pro</w:t>
            </w:r>
            <w:r>
              <w:t xml:space="preserve">                                        </w:t>
            </w:r>
            <w:r>
              <w:rPr>
                <w:rFonts w:ascii="Times New Roman" w:hAnsi="Times New Roman"/>
                <w:color w:val="7C8DA6"/>
                <w:sz w:val="16"/>
                <w:szCs w:val="16"/>
              </w:rPr>
              <w:t xml:space="preserve">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Технический паспорт</w:t>
      </w:r>
    </w:p>
    <w:sdt>
      <w:sdtPr>
        <w:alias w:val="Оглавление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Общие сведения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Архитектура и состав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Технологический объект и номинальный режим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Каталог КПА и реестр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 Сбор телеметрии и историк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6. Металлургический расчёт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7. Супервизорное управление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7.1. Адаптивная настройка Kp/Ki (gain scheduling)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7.2. Автоматическая pH-регуляция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8. Тревоги (ISA-18.2)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9. Безопасность и доступ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10. Веб-интерфейс (HMI)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11. Программные интерфейсы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12. Среда эксплуатации и характеристики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13. Комплектность поставки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14. Методика испытаний и критерии приёмки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15. Используемые стандарты и литература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мыши и выберите «Обновить поле», чтобы обновить номера страниц.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134" w:right="850" w:bottom="1134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400" w:line="312"/>
      </w:pPr>
      <w:bookmarkStart w:id="100000" w:name="_Toc100000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1. Общие сведения</w:t>
      </w:r>
      <w:bookmarkEnd w:id="100000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Настоящий технический паспорт описывает систему CAP (Complex Automation Pro) — систему оперативного диспетчерского контроля и управления участком флотационного обогащения медно-порфировой руды производительностью около 100 т/ч по сухой руде. Система относится к классу SCADA и объединяет сбор телеметрии по протоколу Modbus TCP, металлургические расчёты, супервизорное ПИД-управление, управление тревогами по ISA-18.2 и веб-интерфейс оператора в духе ISA-101.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7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CAP — система диспетчерского контроля и управления участком флотационного обогащения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Мониторинг технологического процесса, металлургический баланс, супервизорное управление, тревоги, отчётность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Класс системы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SCADA-класс: HMI + историк + супервизорный контур управления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Язык интерфейса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Русский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Серверная часть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Go 1.25, единый бинарник capd (модульный монолит)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Клиентская часть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React 18 + TypeScript + Vite + Tailwind CSS (встраивается в сервер)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SQLite (WAL) по умолчанию; поддерживается PostgreSQL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Протокол сбора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Modbus TCP (FC3/FC4/FC6)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Стандарты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ISA-5.1, ISA-18.2, ISA-101, Modbus Application Protocol V1.1b3, IEC 61511 (принципы)</w:t>
            </w:r>
          </w:p>
        </w:tc>
      </w:tr>
    </w:tbl>
    <w:p>
      <w:pPr>
        <w:pStyle w:val="Heading1"/>
        <w:spacing w:after="160" w:before="400" w:line="312"/>
      </w:pPr>
      <w:bookmarkStart w:id="100001" w:name="_Toc100001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2. Архитектура и состав</w:t>
      </w:r>
      <w:bookmarkEnd w:id="100001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Система состоит из трёх процессов. Ядро — модульный монолит capd: один бинарник, одна база данных, один сетевой порт. Шлюз сбора edge опрашивает источник по Modbus TCP и доставляет телеметрию на сервер; демонстрационный стенд plantsim эмулирует технологический процесс за настоящим Modbus TCP сервером и в промышленной эксплуатации заменяется контроллерами завода.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Процесс</w:t>
            </w:r>
          </w:p>
        </w:tc>
        <w:tc>
          <w:tcPr>
            <w:tcW w:type="pct" w:w="6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Роль</w:t>
            </w:r>
          </w:p>
        </w:tc>
        <w:tc>
          <w:tcPr>
            <w:tcW w:type="pct" w:w="26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Сетевые точки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capd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REST API, WebSocket, аутентификация и RBAC, приём телеметрии (идемпотентный), историк, тревоги ISA-18.2, супервизорные ПИД-контуры, металлургический расчёт, реестр КПА, встроенный веб-интерфейс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HTTP :8000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edge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Шлюз сбора: опрос Modbus (1 с), нормализация к единому контракту, буферизация store-and-forward (SQLite) с доставкой без дублей и потерь, пульс состояния, FC6-мост записи актуаторов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исходящие TCP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plantsim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Демонстрационный стенд: математическая модель обогащения + Modbus TCP сервер (FC3/FC4/FC6) + HTTP-интерфейс сценариев. В эксплуатации отсутствует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Modbus :1502, HTTP :15080</w:t>
            </w:r>
          </w:p>
        </w:tc>
      </w:tr>
    </w:tbl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Единственный путь телеметрии от объекта к серверу: датчики (ПЛК/стенд) → Modbus TCP → edge → приёмочный контракт capd (идемпотентно, с подтверждением после долговременной записи) → историк и WebSocket. Расчётные (виртуальные) теги металлургии записываются через тот же контракт, что гарантирует единую точку валидации данных.</w:t>
      </w:r>
    </w:p>
    <w:p>
      <w:pPr>
        <w:spacing w:after="100" w:before="60" w:line="312"/>
        <w:ind w:firstLine="709"/>
        <w:jc w:val="both"/>
      </w:pPr>
      <w:r>
        <w:rPr>
          <w:rFonts w:ascii="Times New Roman" w:hAnsi="Times New Roman"/>
          <w:b/>
          <w:bCs/>
          <w:color w:val="0F172A"/>
          <w:sz w:val="24"/>
          <w:szCs w:val="24"/>
        </w:rPr>
        <w:t xml:space="preserve">Правила архитектуры. </w:t>
      </w:r>
      <w:r>
        <w:rPr>
          <w:rFonts w:ascii="Times New Roman" w:hAnsi="Times New Roman"/>
          <w:color w:val="1A2332"/>
          <w:sz w:val="24"/>
          <w:szCs w:val="24"/>
        </w:rPr>
        <w:t xml:space="preserve">SQL-код сосредоточен только в модуле хранилища; телеметрия попадает в базу исключительно через приёмочный контракт с валидацией схемы; модули обмениваются событиями через внутреннюю шину; транспортный слой не содержит формул и бизнес-правил; конфигурация — только через переменные окружения с безопасными значениями по умолчанию.</w:t>
      </w:r>
    </w:p>
    <w:p>
      <w:pPr>
        <w:pStyle w:val="Heading1"/>
        <w:spacing w:after="160" w:before="400" w:line="312"/>
      </w:pPr>
      <w:bookmarkStart w:id="100002" w:name="_Toc100002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3. Технологический объект и номинальный режим</w:t>
      </w:r>
      <w:bookmarkEnd w:id="100002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Контролируемый участок: подача и дробление руды → шаровая мельница с классификацией в гидроциклоне → флотация (rougher/scavenger) с подачей собирателя и вспенивателя → сгущение концентрата → вакуум-фильтрация и отгрузка. Ветвь хвостов направляется в хвостохранилище.</w:t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1 — Номинальные параметры стационарного режима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5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45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Производительность по руде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100 т/ч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Содержание Cu в питании (α)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0,80 %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Содержание Cu в концентрате (β)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22 %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Содержание Cu в хвостах (θ)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0,08 %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Извлечение ε (расчёт)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≈ 90,3 %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Выход концентрата γ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≈ 3,3 % (3,29 т/ч)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Крупность слива гидроциклона P80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150 мкм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Крупность питания мельницы F80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6 500 мкм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Циркулирующая нагрузка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≈ 250 %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Индекс работы Бонда Wi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14,5 кВт·ч/т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Мощность мельницы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≈ 1 250 кВт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pH пульпы флотации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10,2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Доля твёрдого в питании флотации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30 %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Доля твёрдого в сгущённом продукте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45 %</w:t>
            </w:r>
          </w:p>
        </w:tc>
      </w:tr>
      <w:tr>
        <w:trPr>
          <w:cantSplit/>
        </w:trPr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Влажность кека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10,5 %</w:t>
            </w:r>
          </w:p>
        </w:tc>
      </w:tr>
    </w:tbl>
    <w:p>
      <w:pPr>
        <w:pStyle w:val="Heading1"/>
        <w:spacing w:after="160" w:before="400" w:line="312"/>
      </w:pPr>
      <w:bookmarkStart w:id="100003" w:name="_Toc100003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4. Каталог КПА и реестр</w:t>
      </w:r>
      <w:bookmarkEnd w:id="100003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Реестр системы содержит 6 технологических активов и 43 тега: 28 входных измерений, 7 выходных позиций (актуаторов) и 8 расчётных (виртуальных) показателей. Идентификация тегов выполняется по ISA-5.1: FI — расход, EI — мощность, LI — уровень, AI — анализ, QI — дозирование, DI — плотность, XI — гранулометрия, PI — давление, MI — влажность, WI — массовый расход, SI — запас, TIT — температура; AFI/AFC/AFT — содержание металла по потокам (XRF); HC/FC/LC — позиции управления.</w:t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2 — Активы реестра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Актив</w:t>
            </w:r>
          </w:p>
        </w:tc>
        <w:tc>
          <w:tcPr>
            <w:tcW w:type="pct" w:w="42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pct" w:w="2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Зона</w:t>
            </w:r>
          </w:p>
        </w:tc>
        <w:tc>
          <w:tcPr>
            <w:tcW w:type="pct" w:w="16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Критичность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plant.crushing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Дробление (бункер, питатель, дробилка)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Подготовка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plant.grinding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Измельчение (мельница, гидроциклон)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Подготовка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plant.flotation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Флотация (rougher/scavenger, реагенты)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Обогащение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plant.thickening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Сгущение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Обезвоживание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plant.filtration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Фильтрация и отгрузка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Обезвоживание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plant.metallurgy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Расчётные (виртуальные) показатели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Виртуальный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Для каждого тега заданы единица измерения, инженерная шкала (минимум/максимум), период опроса 1 с и критичность. Виртуальные теги рассчитываются модулем металлургии каждые 5 с: calc_epsilon, calc_gamma, calc_upgrade, calc_pull, calc_balance_err, calc_q_collector, calc_bond_kwt, calc_cl_pct.</w:t>
      </w:r>
    </w:p>
    <w:p>
      <w:pPr>
        <w:pStyle w:val="Heading1"/>
        <w:spacing w:after="160" w:before="400" w:line="312"/>
      </w:pPr>
      <w:bookmarkStart w:id="100004" w:name="_Toc100004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5. Сбор телеметрии и историк</w:t>
      </w:r>
      <w:bookmarkEnd w:id="100004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Опрос Modbus TCP: функция 4 (input registers, 28 датчиков) и функция 3 (holding registers, 7 актуаторов — обратная связь позиции), период 1 с, unit-id 1, big-endian, масштабные коэффициенты на тег.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Нормализация: приведение к единому контракту с качеством good/uncertain/bad/stale/offline; квантование по масштабу регистра.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Буферизация: при недоступности сервера шлюз накапливает батчи в локальной SQLite (store-and-forward) и доставляет их после восстановления в исходном порядке без дублей (идемпотентность по message_id, подтверждение — только после долговременной записи).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Пульс состояния шлюза: периодический heartbeat; потеря связи с активом более 10 с порождает тревогу comm_loss.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Историк: SQLite WAL (синхронизация NORMAL), глубина не менее 30 суток при 35 тегах × 1 Гц; запросы сырых точек, агрегатов и выгрузка CSV (показания, тревоги).</w:t>
      </w:r>
    </w:p>
    <w:p>
      <w:pPr>
        <w:pStyle w:val="Heading1"/>
        <w:spacing w:after="160" w:before="400" w:line="312"/>
      </w:pPr>
      <w:bookmarkStart w:id="100005" w:name="_Toc100005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6. Металлургический расчёт</w:t>
      </w:r>
      <w:bookmarkEnd w:id="100005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Расчёт выполняется на сервере каждые 5 с по последним достоверным значениям телеметрии. Результаты доступны через API, в виде виртуальных тегов (историк и тренды) и на панели «Металлургия». Каждый показатель сопровождается строкой формулы и списком тегов-источников — расчёт полностью аудируем.</w:t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3 — Балансовые показатели (двухпродуктовая схема)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Показатель</w:t>
            </w:r>
          </w:p>
        </w:tc>
        <w:tc>
          <w:tcPr>
            <w:tcW w:type="pct" w:w="45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Формула</w:t>
            </w:r>
          </w:p>
        </w:tc>
        <w:tc>
          <w:tcPr>
            <w:tcW w:type="pct" w:w="25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Целевой коридор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Извлечение Cu, ε, %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ε = β(α−θ)/(α(β−θ))×100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≥ 88 (из профиля руды)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Выход концентрата, γ, %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γ = (α−θ)/(β−θ)×100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Коэффициент обогащения, K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K = β/α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Съём концентрата (mass pull), %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 = wi301/fi101×100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Невязка массового баланса, %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err = (fi101 − wi301 − wi302)/fi101×100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≤ ±1 %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Сходимость извлечений, % отн.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δ — сравнение двухпродуктового ε с массовым балансом металла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≤ 5 %</w:t>
            </w:r>
          </w:p>
        </w:tc>
      </w:tr>
    </w:tbl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4 — Показатели измельчения и вспомогательные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2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Показатель</w:t>
            </w:r>
          </w:p>
        </w:tc>
        <w:tc>
          <w:tcPr>
            <w:tcW w:type="pct" w:w="58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Формула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Удельная энергия измельчения по Бонду, кВт·ч/т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W = 10×Wi×(1/√P80 − 1/√F80), Wi = 14,5; F80 = 6500 мкм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Расчётная мощность измельчения, кВт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W × fi101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Энергетический КПД мельницы, %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η = W×fi101/EI201×100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Циркулирующая нагрузка, %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CL — баланс песков гидроциклона по плотности слива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Удельный расход собирателя, мл/т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q = qi301×60/fi101 (номинал 108)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Нагрузка сгустителя, т/м²·ч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q_s = Wc/A, A = 28,3 м² (норма ≤ 0,4)</w:t>
            </w:r>
          </w:p>
        </w:tc>
      </w:tr>
    </w:tbl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Превышение допуска невязки или расхождение извлечений переводит панель в состояние «данные несогласованы: проверь XRF/весы» — это встроенный детектор достоверности аналитики (выявляет, например, систематический дрейф XRF-анализатора питания). Целевые коридоры KPI берутся из активного профиля руды.</w:t>
      </w:r>
    </w:p>
    <w:p>
      <w:pPr>
        <w:pStyle w:val="Heading1"/>
        <w:spacing w:after="160" w:before="400" w:line="312"/>
      </w:pPr>
      <w:bookmarkStart w:id="100006" w:name="_Toc100006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7. Супервизорное управление</w:t>
      </w:r>
      <w:bookmarkEnd w:id="100006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Контуры выполняются на сервере (супервизорный уровень) с периодом 1 с. ПИД — позиционная форма с ограничением интеграла, зоной нечувствительности и ограничением скорости выхода. Выход в процентах диапазона отображается в инженерные единицы актуатора; запись в станцию выполняет шлюз методом FC6 только в режиме АВТО. Перевод в АВТО выполняется безударно: интеграл инициализируется от фактической позиции актуатора по его телеметрии (при отсутствии — от сохранённого выхода).</w:t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5 — Контуры управления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Контур</w:t>
            </w:r>
          </w:p>
        </w:tc>
        <w:tc>
          <w:tcPr>
            <w:tcW w:type="pct" w:w="26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Задача</w:t>
            </w:r>
          </w:p>
        </w:tc>
        <w:tc>
          <w:tcPr>
            <w:tcW w:type="pct" w:w="14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PV</w:t>
            </w:r>
          </w:p>
        </w:tc>
        <w:tc>
          <w:tcPr>
            <w:tcW w:type="pct" w:w="14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MV</w:t>
            </w:r>
          </w:p>
        </w:tc>
        <w:tc>
          <w:tcPr>
            <w:tcW w:type="pct" w:w="2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SP (диапазон)</w:t>
            </w:r>
          </w:p>
        </w:tc>
        <w:tc>
          <w:tcPr>
            <w:tcW w:type="pct" w:w="16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Kp / Ki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lic301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Уровень пульпы флотомашины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li301, мм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lc301, %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500 (450–650)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−0,06 / −0,02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fic301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Удельный расход собирателя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qi301, мл/мин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fc301, мл/мин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108 (30–300)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−1,2 / −0,4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dic401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Плотность сгущённого продукта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di401, % тв.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fc401, %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45 (40–55)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−2,5 / −0,8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phc301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pH пульпы флотации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ph301, pH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acid_doser, %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9,0 (7,5–10,5)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−0,5 / −0,15</w:t>
            </w:r>
          </w:p>
        </w:tc>
      </w:tr>
    </w:tbl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Отрицательные коэффициенты соответствуют прямой динамике объекта при стандартной форме ошибки e = SP − PV (рост измеренного значения требует роста воздействия). Значения настраек — стартовые, подтверждаемые стендовыми испытаниями. Контур phc301 выделен отдельным типом ph и исполняет собственную логику (см. п. 7.2). В демонстрационном стенде отдельный канал pH-дозатора не эмулируется, поэтому PV контура phc301 остаётся без данных — контур отображается в интерфейсе и доступен для настройки.</w:t>
      </w:r>
    </w:p>
    <w:p>
      <w:pPr>
        <w:spacing w:after="100" w:before="60" w:line="312"/>
        <w:ind w:firstLine="709"/>
        <w:jc w:val="both"/>
      </w:pPr>
      <w:r>
        <w:rPr>
          <w:rFonts w:ascii="Times New Roman" w:hAnsi="Times New Roman"/>
          <w:b/>
          <w:bCs/>
          <w:color w:val="0F172A"/>
          <w:sz w:val="24"/>
          <w:szCs w:val="24"/>
        </w:rPr>
        <w:t xml:space="preserve">Watchdog. </w:t>
      </w:r>
      <w:r>
        <w:rPr>
          <w:rFonts w:ascii="Times New Roman" w:hAnsi="Times New Roman"/>
          <w:color w:val="1A2332"/>
          <w:sz w:val="24"/>
          <w:szCs w:val="24"/>
        </w:rPr>
        <w:t xml:space="preserve">Если достоверное значение PV старше 10 с или его качество отличается от good, контур автоматически переводится в ручной режим, выход замораживается в последнем безопасном положении (не обнуляется) и поднимается operational-тревога control_fault. При восстановлении данных контур возвращается в состояние норма; режим АВТО включается оператором вручную.</w:t>
      </w:r>
    </w:p>
    <w:p>
      <w:pPr>
        <w:spacing w:after="100" w:before="60" w:line="312"/>
        <w:ind w:firstLine="709"/>
        <w:jc w:val="both"/>
      </w:pPr>
      <w:r>
        <w:rPr>
          <w:rFonts w:ascii="Times New Roman" w:hAnsi="Times New Roman"/>
          <w:b/>
          <w:bCs/>
          <w:color w:val="0F172A"/>
          <w:sz w:val="24"/>
          <w:szCs w:val="24"/>
        </w:rPr>
        <w:t xml:space="preserve">Ручные команды. </w:t>
      </w:r>
      <w:r>
        <w:rPr>
          <w:rFonts w:ascii="Times New Roman" w:hAnsi="Times New Roman"/>
          <w:color w:val="1A2332"/>
          <w:sz w:val="24"/>
          <w:szCs w:val="24"/>
        </w:rPr>
        <w:t xml:space="preserve">Актуаторы, не входящие в контуры (hc101, fc201, fc302, hi501), управляются разовыми командами записи с подтверждением; каждая команда получает номер последовательности, мост записывает её в станцию однократно.</w:t>
      </w:r>
    </w:p>
    <w:p>
      <w:pPr>
        <w:pStyle w:val="Heading2"/>
        <w:spacing w:after="120" w:before="280" w:line="312"/>
      </w:pPr>
      <w:bookmarkStart w:id="100007" w:name="_Toc100007"/>
      <w:r>
        <w:rPr>
          <w:rFonts w:ascii="Times New Roman" w:hAnsi="Times New Roman"/>
          <w:b/>
          <w:bCs/>
          <w:color w:val="0F172A"/>
          <w:sz w:val="28"/>
          <w:szCs w:val="28"/>
        </w:rPr>
        <w:t xml:space="preserve">7.1. Адаптивная настройка Kp/Ki (gain scheduling)</w:t>
      </w:r>
      <w:bookmarkEnd w:id="100007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Для каждого контура может быть включена адаптивная настройка: пропорциональный и интегральный коэффициенты пересчитываются в реальном времени по измеримому индикатору усиления процесса (например, производительности питателя). Пересчёт выполняется на каждом такте без переинициализации контура.</w:t>
      </w:r>
    </w:p>
    <w:p>
      <w:pPr>
        <w:shd w:fill="F4F7FA" w:val="clear"/>
        <w:spacing w:after="120" w:before="60" w:line="276"/>
        <w:ind w:left="400"/>
      </w:pPr>
      <w:r>
        <w:rPr>
          <w:rFonts w:ascii="Courier New" w:hAnsi="Courier New"/>
          <w:color w:val="1A2332"/>
          <w:sz w:val="16"/>
          <w:szCs w:val="16"/>
        </w:rPr>
        <w:t xml:space="preserve">factor = 0.5 + (indicator − gain_low) / (gain_high − gain_low)</w:t>
      </w:r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Множитель линейно отображает диапазон индикатора [gain_low, gain_high] в интервал [0,5; 1,5]; вне диапазона действует жёсткое ограничение [0,25; 4,0]. Итоговые Kp/Ki ограничиваются коридором [0,25×; 4×] базовых значений. Активный множитель отображается на панели контура бейджем ADAPT ×N. Интегральное ограничение (anti-windup) не даёт интегралу накапливаться при насыщении выхода.</w:t>
      </w:r>
    </w:p>
    <w:p>
      <w:pPr>
        <w:pStyle w:val="Heading2"/>
        <w:spacing w:after="120" w:before="280" w:line="312"/>
      </w:pPr>
      <w:bookmarkStart w:id="100008" w:name="_Toc100008"/>
      <w:r>
        <w:rPr>
          <w:rFonts w:ascii="Times New Roman" w:hAnsi="Times New Roman"/>
          <w:b/>
          <w:bCs/>
          <w:color w:val="0F172A"/>
          <w:sz w:val="28"/>
          <w:szCs w:val="28"/>
        </w:rPr>
        <w:t xml:space="preserve">7.2. Автоматическая pH-регуляция</w:t>
      </w:r>
      <w:bookmarkEnd w:id="100008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Контур phc301 поддерживает pH пульпы автоматической подачей кислого/щелочного реагента и включает три механизма: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Двойная защитная зона (dead-band): отклонение от уставки более ±0,2 pH поднимает тревогу предупреждения; более ±0,5 pH — критическую тревогу с принудительным переводом контура в ручной режим и замораживанием выхода.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Самонастройка Kp/Ki по температуре и расходу пульпы: Kp масштабируется с отклонением температуры от 25 °C (коэффициент 0,02 на °C), Ki — с отклонением расхода от 100 единиц (0,01 на 100); итог ограничивается коридором [0,1×; 5×] базовых значений.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Безударный переход manual→auto: интеграл инициализируется от текущей позиции дозатора.</w:t>
      </w:r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При возврате отклонения в зону нормы тревоги контура автоматически снимаются. Пороги зон настраиваются в панели контура (по умолчанию 0,2 и 0,5 pH).</w:t>
      </w:r>
    </w:p>
    <w:p>
      <w:pPr>
        <w:pStyle w:val="Heading1"/>
        <w:spacing w:after="160" w:before="400" w:line="312"/>
      </w:pPr>
      <w:bookmarkStart w:id="100009" w:name="_Toc100009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8. Тревоги (ISA-18.2)</w:t>
      </w:r>
      <w:bookmarkEnd w:id="100009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Оценка пределов выполняется на сервере на каждом тике телеметрии. Жизненный цикл тревоги — состояния active/cleared × acknowledged; все события (сработала, сброшена, квитирована, отложена) записываются в неизменяемый журнал. Задержка срабатывания: 3 с для критических, 10 с для остальных; гистерезис — 1 % шкалы против дребезга. Квитирование фиксирует оператора из сессии и комментарий. Тревога comm_loss (средний приоритет) поднимается при отсутствии достоверных данных по всем тегам актива более 10 с.</w:t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6 — Рационализированные уставки (посев)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Тег</w:t>
            </w:r>
          </w:p>
        </w:tc>
        <w:tc>
          <w:tcPr>
            <w:tcW w:type="pct" w:w="2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Lo/Lo–Lo</w:t>
            </w:r>
          </w:p>
        </w:tc>
        <w:tc>
          <w:tcPr>
            <w:tcW w:type="pct" w:w="2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Hi/Hi–Hi</w:t>
            </w:r>
          </w:p>
        </w:tc>
        <w:tc>
          <w:tcPr>
            <w:tcW w:type="pct" w:w="16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Приоритет</w:t>
            </w:r>
          </w:p>
        </w:tc>
        <w:tc>
          <w:tcPr>
            <w:tcW w:type="pct" w:w="32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fi101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70 / 40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130 / 160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Потеря производства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ei201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600 / 200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1800 / 2100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Защита привода мельницы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pi201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60 / 30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220 / 260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высокий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Классификация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xi201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— / 120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190 / 220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Грубый слив → потеря извлечения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li301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380 / 300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700 / 760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Перелив флотомашины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ai301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9,6 / 9,0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10,8 / 11,5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высокий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Окно извлечения по pH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di301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24 / 20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36 / 40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высокий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Плотность питания флотации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afi301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0,60 / 0,45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высокий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Резкое изменение качества руды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afc301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18,0 / —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высокий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Качество концентрата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aft301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0,12 / 0,18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Потери металла в хвостах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wi301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2,2 / 1,5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высокий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Пропуск концентрата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li401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1,2 / 0,8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5,5 / 6,5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Переполнение постели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di401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36 / 32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52 / 58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высокий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Сгущённый продукт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ei401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70 / 85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Защита механизма сгустителя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mi501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13,0 / 16,0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высокий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Влажность кека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pi501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35 / 25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70 / 78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высокий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Вакуум фильтра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si101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15 / —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95 / —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высокий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Пересорт/пустой бункер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tit101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12 / 8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35 / 40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средний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Температура пульпы</w:t>
            </w:r>
          </w:p>
        </w:tc>
      </w:tr>
    </w:tbl>
    <w:p>
      <w:pPr>
        <w:pStyle w:val="Heading1"/>
        <w:spacing w:after="160" w:before="400" w:line="312"/>
      </w:pPr>
      <w:bookmarkStart w:id="100010" w:name="_Toc100010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9. Безопасность и доступ</w:t>
      </w:r>
      <w:bookmarkEnd w:id="100010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Локальные учётные записи: хеш пароля PBKDF2-SHA256; стартовые пользователи admin/admin (администратор) и operator/operator (оператор) — демонстрационные, подлежат смене перед эксплуатацией.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Сессии: серверный токен 128 бит в HttpOnly-cookie (SameSite=Lax), срок жизни 12 ч; все API-методы, кроме входа и проверки живости, требуют валидную сессию; WebSocket аутентифицируется той же cookie.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Машины-клиенты: шлюзы подтверждают общий секрет GATEWAY_TOKEN в заголовке машинных методов приёма; сравнение выполняется в постоянном времени.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Аудит: все мутации (уставки, режимы, квитирование, сценарии, назначение ролей) фиксируются в журнале аудита с исполнителем из сессии, ресурсом и деталями.</w:t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7 — Роли и права (RBAC)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Роль</w:t>
            </w:r>
          </w:p>
        </w:tc>
        <w:tc>
          <w:tcPr>
            <w:tcW w:type="pct" w:w="66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Права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Оператор (operator)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просмотр закреплённой зоны, квитирование тревог, управление процессом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Главный металлург (metallurgist)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полный просмотр, управление профилями руды, разбор и рационализация тревог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OT-инженер (ot_engineer)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полный просмотр, управление реестром тегов и шлюзами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Директор (director)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полный просмотр, отчёты, согласование профилей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Служба эксплуатации (maintenance)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просмотр активов и сигналов состояния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Администратор (platform_admin)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управление пользователями, ролями и платформой; все права</w:t>
            </w:r>
          </w:p>
        </w:tc>
      </w:tr>
    </w:tbl>
    <w:p>
      <w:pPr>
        <w:pStyle w:val="Heading1"/>
        <w:spacing w:after="160" w:before="400" w:line="312"/>
      </w:pPr>
      <w:bookmarkStart w:id="100011" w:name="_Toc100011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10. Веб-интерфейс (HMI)</w:t>
      </w:r>
      <w:bookmarkEnd w:id="100011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Интерфейс выполнен по мотивам ISA-101: мнемосхема с drill-down до паспорта объекта, тренды с таблицей перьев, панель металлургии, контуры управления, журнал тревог, профили руды и администрирование. Данные обновляются по WebSocket (телеметрия и состояния контуров — ежесекундно; тревоги — потоком событий) и периодическим опросом (металлургия и тревоги — 5 с, реестр — 60 с). Поддерживаются светлая и тёмная темы; шрифты системные, внешние CDN не используются — интерфейс работает в изолированной сети.</w:t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Страницы HMI: мнемосхема (по умолчанию), тренды, металлургия, управление, тревоги, профили руды, администрирование (реестр КПА, запрос телеметрии, доступ и аудит, сценарии стенда)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400" w:line="312"/>
      </w:pPr>
      <w:bookmarkStart w:id="100012" w:name="_Toc100012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11. Программные интерфейсы</w:t>
      </w:r>
      <w:bookmarkEnd w:id="100012"/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8 — Основные методы REST API (база /api/v1)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8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Метод и путь</w:t>
            </w:r>
          </w:p>
        </w:tc>
        <w:tc>
          <w:tcPr>
            <w:tcW w:type="pct" w:w="52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POST /access/login, /access/logout; GET /access/whoami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вход, выход, сведения о сессии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POST /ingest/telemetry, /ingest/telemetry:batch; POST /ingest/gateway_events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приём телеметрии и событий шлюза (машинный токен)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GET /telemetry, /telemetry/latest, /telemetry/aggregate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историк: точки, последние значения, агрегаты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GET /reports/readings/csv, /reports/alerts/csv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выгрузка отчётов CSV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GET /alarms/active, /alarms/journal; POST /alarms/{id}/ack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активные тревоги, журнал, квитирование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GET/PUT/DELETE /alarms/limits/{tag_id}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рационализация уставок тревог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GET /control/loops; PUT /control/loops/{id}/setpoint|mode|output|adaptive|ph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контуры: состояние, уставка, режим, выход, адаптив, pH-конфигурация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PUT /actuators/{tag_id}; GET /control/output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разовая запись актуатора; лента выходов для FC6-моста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GET /metallurgy/summary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металлургический баланс и KPI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GET/POST /profiles; POST /profiles/{id}/approve|activate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профили руды: создание, согласование, активация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GET/POST/PUT/DELETE /assets, /tags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реестр КПА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POST /scenario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сценарий стенда (прокси с аудитом)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GET /ws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WebSocket: телеметрия, тревоги, состояния контуров</w:t>
            </w:r>
          </w:p>
        </w:tc>
      </w:tr>
    </w:tbl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События WebSocket: telemetry (значение, единица, качество), alarm_raised / alarm_cleared / alarm_acked, loop_state (режим, состояние, SP, PV, выход, флаги адаптива и pH-регуляции). Управляющих команд от клиента WebSocket не принимает — все изменения выполняются через REST с явным подтверждением.</w:t>
      </w:r>
    </w:p>
    <w:p>
      <w:pPr>
        <w:pStyle w:val="Heading1"/>
        <w:spacing w:after="160" w:before="400" w:line="312"/>
      </w:pPr>
      <w:bookmarkStart w:id="100013" w:name="_Toc100013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12. Среда эксплуатации и характеристики</w:t>
      </w:r>
      <w:bookmarkEnd w:id="100013"/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9 — Требования и характеристики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66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ОС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Linux (запуск через backend/run.sh: capd, edge, plantsim)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Исполнение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Статические бинарники Go, без внешних зависимостей времени выполнения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Порты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8000 — сервер (UI/API/WS); 1502 — Modbus TCP стенда; 15080 — HTTP стенда (только демонстрация)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Браузер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Актуальные Chrome/Firefox/Edge, same-origin, без расширений и CDN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Задержка датчик → WebSocket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≤ 2 с при опросе 1 с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Пропускная способность приёма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≥ 100 значений/с без деградации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Глубина историка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≥ 30 суток при 35 тегах × 1 Гц (SQLite WAL)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Поведение при обрыве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буферизация у шлюза, дозаказка без дублей; на трендах — разрывы при недостоверных данных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Холодный старт демо-стенда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≤ 30 с до готового интерфейса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Потребление ОЗУ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≤ 200 МБ сервер, ≤ 50 МБ стенд</w:t>
            </w:r>
          </w:p>
        </w:tc>
      </w:tr>
    </w:tbl>
    <w:p>
      <w:pPr>
        <w:pStyle w:val="Heading1"/>
        <w:spacing w:after="160" w:before="400" w:line="312"/>
      </w:pPr>
      <w:bookmarkStart w:id="100014" w:name="_Toc100014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13. Комплектность поставки</w:t>
      </w:r>
      <w:bookmarkEnd w:id="100014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Исходный код: backend/ (сервер capd, шлюз edge, стенд plantsim), frontend/ (React-HMI), demo/ (скрипты демонстрации run-demo.sh, scenario.sh).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Техническое задание (TZ_OBOGACHENIE.md) — полный контракт системы, включая карту регистров и критерии приёмки.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Настоящий технический паспорт; руководство оператора; презентационные материалы (каталог docs/).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Скрипт быстрого запуска backend/run.sh (сборка и старт трёх процессов, свежая база) и health-скрипты.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Лицензия MIT.</w:t>
      </w:r>
    </w:p>
    <w:p>
      <w:pPr>
        <w:pStyle w:val="Heading1"/>
        <w:spacing w:after="160" w:before="400" w:line="312"/>
      </w:pPr>
      <w:bookmarkStart w:id="100015" w:name="_Toc100015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14. Методика испытаний и критерии приёмки</w:t>
      </w:r>
      <w:bookmarkEnd w:id="100015"/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Сборка и статический анализ: go build ./..., go vet ./..., go test ./... — без ошибок; фронтенд npm run build — без ошибок TypeScript.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Физика стенда: стационарный массовый баланс fi101 = wi301 + wi302 с точностью ±0,5 %; извлечение в номинале 88–92 %.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Modbus-сервер стенда: отвечает на FC3/FC4/FC6, отклоняет прочие коды функций исключением; тесты против реального Modbus-клиента.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Шлюз: опрос по карте регистров; буферизация при простое сервера 10 с и дозаказка без дублей после восстановления.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Металлургия: юнит-тесты формул на эталонных значениях номинала (ε = 90,3 %, γ = 3,29 %, Бонд W ≈ 10,0 кВт·ч/т); KPI содержат формулу и источники.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Контуры: lic301 удерживает уставку ±10 мм при возмущении притока ±15 %; dic401 — ±1,5 % тв.; watchdog переводит контур в ручной при потере PV; FC6-запись выполняется только в АВТО.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Адаптивный ПИД: включение gain scheduling пересчитывает Kp/Ki без разрыва контура; множитель соответствует формуле п. 7.1; анти-интегральное насыщение ограничено.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pH-регуляция: зоны ±0,2/±0,5 порождают предупреждение и критическую тревогу; при критическом отклонении контур принудительно в ручной режим с заморозкой выхода; самонастройка по температуре/расходу изменяет Kp/Ki в заданных пределах.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Тревоги: журнал содержит события срабатывания/сброса/квитирования; квитирование фиксирует оператора из сессии; сценарий отказа насоса сгустителя даёт последовательность li401 hi → ei401 hi_hi.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Интерфейс: все страницы раздела 10, одна сессия WebSocket, обе темы, квитирование из баннера критической тревоги, разрывы трендов при недостоверных данных.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Сквозная демонстрация demo/run-demo.sh — семь сценариев от начала до конца без ручных правок.</w:t>
      </w:r>
    </w:p>
    <w:p>
      <w:pPr>
        <w:pStyle w:val="Heading1"/>
        <w:spacing w:after="160" w:before="400" w:line="312"/>
      </w:pPr>
      <w:bookmarkStart w:id="100016" w:name="_Toc100016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15. Используемые стандарты и литература</w:t>
      </w:r>
      <w:bookmarkEnd w:id="100016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ISA-5.1 — условные обозначения КИП (идентификация тегов).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ISA-18.2 — управление тревогами: состояния, рационализация, журнал, квитирование.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ISA-101 — проектирование человеко-машинного интерфейса: иерархия, faceplate, тренды.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Modbus Application Protocol Specification V1.1b3 — MBAP, FC3/FC4/FC6, коды исключений.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IEC 61508/61511 — принципы безопасности супервизорного контура (watchdog, удержание выхода при потере связи).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B.A. Wills, J.A. Finch. Wills' Mineral Processing Technology, 9th ed. — массовый баланс, измельчение, кинетика флотации.</w:t>
      </w:r>
    </w:p>
    <w:sectPr>
      <w:headerReference w:type="default" r:id="rId8"/>
      <w:footerReference w:type="default" r:id="rId9"/>
      <w:type w:val="nextPage"/>
      <w:pgSz w:w="11906" w:h="16838" w:orient="portrait"/>
      <w:pgMar w:top="1134" w:right="850" w:bottom="1134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6" w:sz="2" w:space="4"/>
      </w:pBdr>
      <w:jc w:val="right"/>
    </w:pPr>
    <w:r>
      <w:rPr>
        <w:rFonts w:ascii="Times New Roman" w:hAnsi="Times New Roman"/>
        <w:color w:val="999999"/>
        <w:sz w:val="16"/>
        <w:szCs w:val="16"/>
      </w:rPr>
      <w:t xml:space="preserve">CAP · Технический паспорт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1A2332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12"/>
      <w:outlineLvl w:val="0"/>
    </w:pPr>
    <w:rPr>
      <w:rFonts w:ascii="Times New Roman" w:hAnsi="Times New Roman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imes New Roman" w:hAnsi="Times New Roman"/>
      <w:b/>
      <w:bCs/>
      <w:color w:val="0F172A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0e2dd0bc40631219e2ccd8eeb975a98c5ccf0693.png"/><Relationship Id="rId11" Type="http://schemas.openxmlformats.org/officeDocument/2006/relationships/image" Target="media/7e5d336d44e9c1e51fbe0836a3cb37228f93bd6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2026-09-15T17:26:54.690Z</dcterms:created>
  <dcterms:modified xsi:type="dcterms:W3CDTF">2026-09-15T17:26:54.748Z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