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</w:tcPr>
          <w:p>
            <w:pPr>
              <w:spacing w:before="4092"/>
            </w:pPr>
          </w:p>
          <w:p>
            <w:pPr>
              <w:pBdr>
                <w:bottom w:val="single" w:color="38BDF8" w:sz="6" w:space="8"/>
              </w:pBdr>
              <w:spacing w:after="500"/>
              <w:ind w:left="1200" w:right="800"/>
            </w:pPr>
            <w:r>
              <w:rPr>
                <w:rFonts w:ascii="Times New Roman" w:hAnsi="Times New Roman"/>
                <w:color w:val="38BDF8"/>
                <w:spacing w:val="40"/>
                <w:sz w:val="18"/>
                <w:szCs w:val="18"/>
              </w:rPr>
              <w:t xml:space="preserve">C  O  M  P  L  E  X     A  U  T  O  M  A  T  I  O  N     P  R  O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Times New Roman" w:hAnsi="Times New Roman"/>
                <w:b/>
                <w:bCs/>
                <w:color w:val="FFFFFF"/>
                <w:sz w:val="80"/>
                <w:szCs w:val="80"/>
              </w:rPr>
              <w:t xml:space="preserve">РУКОВОДСТВО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Times New Roman" w:hAnsi="Times New Roman"/>
                <w:b/>
                <w:bCs/>
                <w:color w:val="FFFFFF"/>
                <w:sz w:val="80"/>
                <w:szCs w:val="80"/>
              </w:rPr>
              <w:t xml:space="preserve">ОПЕРАТОРА</w:t>
            </w:r>
          </w:p>
          <w:p>
            <w:pPr>
              <w:spacing w:after="800" w:line="312"/>
              <w:ind w:left="1200" w:right="800"/>
            </w:pPr>
            <w:r>
              <w:rPr>
                <w:rFonts w:ascii="Times New Roman" w:hAnsi="Times New Roman"/>
                <w:color w:val="B8C4D4"/>
                <w:sz w:val="24"/>
                <w:szCs w:val="24"/>
              </w:rPr>
              <w:t xml:space="preserve">CAP — АСУ ТП участка флотационного обогащения руды: мнемосхема, тренды, металлургический баланс, управление контурами, тревоги</w:t>
            </w:r>
          </w:p>
          <w:p>
            <w:pPr>
              <w:pBdr>
                <w:left w:val="single" w:color="38BDF8" w:sz="8" w:space="12"/>
              </w:pBdr>
              <w:spacing w:after="80"/>
              <w:ind w:left="1400"/>
            </w:pPr>
            <w:r>
              <w:rPr>
                <w:rFonts w:ascii="Times New Roman" w:hAnsi="Times New Roman"/>
                <w:color w:val="D5DEEA"/>
                <w:sz w:val="24"/>
                <w:szCs w:val="24"/>
              </w:rPr>
              <w:t xml:space="preserve">Версия: MVP 1.0 — сентябрь 2026 г.</w:t>
            </w:r>
          </w:p>
          <w:p>
            <w:pPr>
              <w:pBdr>
                <w:left w:val="single" w:color="38BDF8" w:sz="8" w:space="12"/>
              </w:pBdr>
              <w:spacing w:after="80"/>
              <w:ind w:left="1400"/>
            </w:pPr>
            <w:r>
              <w:rPr>
                <w:rFonts w:ascii="Times New Roman" w:hAnsi="Times New Roman"/>
                <w:color w:val="D5DEEA"/>
                <w:sz w:val="24"/>
                <w:szCs w:val="24"/>
              </w:rPr>
              <w:t xml:space="preserve">Интерфейс: веб, русский язык</w:t>
            </w:r>
          </w:p>
          <w:p>
            <w:pPr>
              <w:pBdr>
                <w:left w:val="single" w:color="38BDF8" w:sz="8" w:space="12"/>
              </w:pBdr>
              <w:spacing w:after="80"/>
              <w:ind w:left="1400"/>
            </w:pPr>
            <w:r>
              <w:rPr>
                <w:rFonts w:ascii="Times New Roman" w:hAnsi="Times New Roman"/>
                <w:color w:val="D5DEEA"/>
                <w:sz w:val="24"/>
                <w:szCs w:val="24"/>
              </w:rPr>
              <w:t xml:space="preserve">Адрес: http://&lt;сервер&gt;:8000</w:t>
            </w:r>
          </w:p>
          <w:p>
            <w:pPr>
              <w:pBdr>
                <w:left w:val="single" w:color="38BDF8" w:sz="8" w:space="12"/>
              </w:pBdr>
              <w:spacing w:after="80"/>
              <w:ind w:left="1400"/>
            </w:pPr>
            <w:r>
              <w:rPr>
                <w:rFonts w:ascii="Times New Roman" w:hAnsi="Times New Roman"/>
                <w:color w:val="D5DEEA"/>
                <w:sz w:val="24"/>
                <w:szCs w:val="24"/>
              </w:rPr>
              <w:t xml:space="preserve">Учётные записи: operator / admin</w:t>
            </w:r>
          </w:p>
          <w:p>
            <w:pPr>
              <w:spacing w:before="4092"/>
            </w:pPr>
          </w:p>
          <w:p>
            <w:pPr>
              <w:pBdr>
                <w:top w:val="single" w:color="38BDF8" w:sz="2" w:space="8"/>
              </w:pBdr>
              <w:spacing w:before="200"/>
              <w:ind w:left="1200" w:right="800"/>
            </w:pPr>
            <w:r>
              <w:rPr>
                <w:rFonts w:ascii="Times New Roman" w:hAnsi="Times New Roman"/>
                <w:color w:val="7C8DA6"/>
                <w:sz w:val="16"/>
                <w:szCs w:val="16"/>
              </w:rPr>
              <w:t xml:space="preserve">CAP · Complex Automation Pro</w:t>
            </w:r>
            <w:r>
              <w:t xml:space="preserve">                                        </w:t>
            </w:r>
            <w:r>
              <w:rPr>
                <w:rFonts w:ascii="Times New Roman" w:hAnsi="Times New Roman"/>
                <w:color w:val="7C8DA6"/>
                <w:sz w:val="16"/>
                <w:szCs w:val="16"/>
              </w:rPr>
              <w:t xml:space="preserve">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СОДЕРЖАНИЕ</w:t>
      </w:r>
    </w:p>
    <w:sdt>
      <w:sdtPr>
        <w:alias w:val="Оглавление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Назначение и круг пользователей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Запуск системы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Вход в систему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4. Навигация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5. Мнемосхема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6. Паспорт объекта (faceplate)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7. Тренды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8. Металлургический баланс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9. Управление контурами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10. Тревоги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11. Профили руды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12. Администрирование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13. Демонстрация (скриптованный сценарий)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14. Поведение при отказах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15. Остановка системы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hAnsi="Times New Roman"/>
          <w:i/>
          <w:iCs/>
          <w:color w:val="888888"/>
          <w:sz w:val="18"/>
          <w:szCs w:val="18"/>
        </w:rPr>
        <w:t xml:space="preserve">Примечание: оглавление построено на кодах полей. После редактирования документа щёлкните по оглавлению правой кнопкой мыши и выберите «Обновить поле», чтобы обновить номера страниц.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134" w:right="850" w:bottom="1134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400" w:line="312"/>
      </w:pPr>
      <w:bookmarkStart w:id="100000" w:name="_Toc100000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1. Назначение и круг пользователей</w:t>
      </w:r>
      <w:bookmarkEnd w:id="100000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Руководство описывает работу оператора и технолога с веб-интерфейсом CAP — системы оперативного диспетчерского контроля и управления участком флотационного обогащения руды. Система собирает телеметрию по Modbus TCP, ведёт историк, рассчитывает металлургические показатели, управляет тремя супервизорными контурами и обрабатывает тревоги по ISA-18.2.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Оператор (operator) — наблюдение за процессом, квитирование тревог, управление контурами и запуск демонстрационных сценариев.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Администратор (admin) — дополнительно: реестр КПА, запросы телеметрии, доступ и аудит, сценарии стенда.</w:t>
      </w:r>
    </w:p>
    <w:p>
      <w:pPr>
        <w:pStyle w:val="Heading1"/>
        <w:spacing w:after="160" w:before="400" w:line="312"/>
      </w:pPr>
      <w:bookmarkStart w:id="100001" w:name="_Toc100001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2. Запуск системы</w:t>
      </w:r>
      <w:bookmarkEnd w:id="100001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Демонстрационный запуск выполняется одной командой — она собирает три компонента, создаёт свежую базу и открывает стенд:</w:t>
      </w:r>
    </w:p>
    <w:p>
      <w:pPr>
        <w:shd w:fill="F4F7FA" w:val="clear"/>
        <w:spacing w:after="120" w:before="60" w:line="276"/>
        <w:ind w:left="400"/>
      </w:pPr>
      <w:r>
        <w:rPr>
          <w:rFonts w:ascii="Courier New" w:hAnsi="Courier New"/>
          <w:color w:val="1A2332"/>
          <w:sz w:val="16"/>
          <w:szCs w:val="16"/>
        </w:rPr>
        <w:t xml:space="preserve">cd backend &amp;&amp; ./run.sh        # стенд + сервер + шлюз</w:t>
      </w:r>
    </w:p>
    <w:p>
      <w:pPr>
        <w:shd w:fill="F4F7FA" w:val="clear"/>
        <w:spacing w:after="120" w:before="60" w:line="276"/>
        <w:ind w:left="400"/>
      </w:pPr>
      <w:r>
        <w:rPr>
          <w:rFonts w:ascii="Courier New" w:hAnsi="Courier New"/>
          <w:color w:val="1A2332"/>
          <w:sz w:val="16"/>
          <w:szCs w:val="16"/>
        </w:rPr>
        <w:t xml:space="preserve">demo/run-demo.sh              # scripted-демо: 7 сценариев, ~15 мин</w:t>
      </w:r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После запуска интерфейс доступен на http://127.0.0.1:8000. Порты: 8000 — сервер (UI, API, WebSocket), 1502 — Modbus TCP стенда, 15080 — HTTP стенда (для сценариев). Остановка: kill $(cat backend/.run/{capd,edge,plantsim}.pid) или повторный запуск run.sh.</w:t>
      </w:r>
    </w:p>
    <w:p>
      <w:pPr>
        <w:keepNext/>
        <w:spacing w:after="80" w:before="160" w:line="312"/>
      </w:pPr>
      <w:r>
        <w:rPr>
          <w:rFonts w:ascii="Times New Roman" w:hAnsi="Times New Roman"/>
          <w:b/>
          <w:bCs/>
          <w:color w:val="506070"/>
          <w:sz w:val="21"/>
          <w:szCs w:val="21"/>
        </w:rPr>
        <w:t xml:space="preserve">Таблица 1 — Процессы системы</w:t>
      </w:r>
    </w:p>
    <w:tbl>
      <w:tblPr>
        <w:tblW w:type="pct" w:w="100%"/>
        <w:tblBorders>
          <w:top w:val="single" w:color="9AA6B2" w:sz="4"/>
          <w:left w:val="none" w:color="FFFFFF" w:sz="0"/>
          <w:bottom w:val="single" w:color="9AA6B2" w:sz="4"/>
          <w:right w:val="none" w:color="FFFFFF" w:sz="0"/>
          <w:insideH w:val="single" w:color="D8DEE6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Процесс</w:t>
            </w:r>
          </w:p>
        </w:tc>
        <w:tc>
          <w:tcPr>
            <w:tcW w:type="pct" w:w="60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Роль</w:t>
            </w:r>
          </w:p>
        </w:tc>
        <w:tc>
          <w:tcPr>
            <w:tcW w:type="pct" w:w="22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Порты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capd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Сервер: UI, REST API, WebSocket, историк, тревоги, контуры, расчёты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8000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edge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Шлюз: опрос Modbus 1 Гц, буфер при обрыве, запись FC6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plantsim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Демонстрационный стенд процесса (в эксплуатации отсутствует)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1502, 15080</w:t>
            </w:r>
          </w:p>
        </w:tc>
      </w:tr>
    </w:tbl>
    <w:p>
      <w:pPr>
        <w:pStyle w:val="Heading1"/>
        <w:spacing w:after="160" w:before="400" w:line="312"/>
      </w:pPr>
      <w:bookmarkStart w:id="100002" w:name="_Toc100002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3. Вход в систему</w:t>
      </w:r>
      <w:bookmarkEnd w:id="100002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Откройте адрес сервера. На странице входа введите имя пользователя и пароль. Демонстрационные учётные записи: operator/operator и admin/admin. Пароли seed-пользователей предназначены только для стенда — перед реальной эксплуатацией их необходимо сменить.</w:t>
      </w:r>
    </w:p>
    <w:p>
      <w:pPr>
        <w:spacing w:after="160" w:before="60"/>
        <w:jc w:val="center"/>
      </w:pPr>
      <w:r>
        <w:drawing>
          <wp:inline distT="0" distB="0" distL="0" distR="0">
            <wp:extent cx="5905500" cy="3505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160" w:line="312"/>
      </w:pPr>
      <w:r>
        <w:rPr>
          <w:rFonts w:ascii="Times New Roman" w:hAnsi="Times New Roman"/>
          <w:b/>
          <w:bCs/>
          <w:color w:val="506070"/>
          <w:sz w:val="21"/>
          <w:szCs w:val="21"/>
        </w:rPr>
        <w:t xml:space="preserve">Рисунок 1 — Страница входа</w:t>
      </w:r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Сессия действует 12 часов; повторный вход выполняется автоматически при открытии системы после перерыва. Выход — кнопка «Выйти» в нижней части боковой панели.</w:t>
      </w:r>
    </w:p>
    <w:p>
      <w:pPr>
        <w:pStyle w:val="Heading1"/>
        <w:spacing w:after="160" w:before="400" w:line="312"/>
      </w:pPr>
      <w:bookmarkStart w:id="100003" w:name="_Toc100003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4. Навигация</w:t>
      </w:r>
      <w:bookmarkEnd w:id="100003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Все разделы доступны из боковой панели: мнемосхема (главная), тренды, металлургия, управление, тревоги, профили руды, администрирование. В правом верхнем углу отображается состояние связи с процессом («Оперативная связь» или «Нет связи») и переключатель тёмной темы. Тема сохраняется на все страницы.</w:t>
      </w:r>
    </w:p>
    <w:p>
      <w:pPr>
        <w:pStyle w:val="Heading1"/>
        <w:spacing w:after="160" w:before="400" w:line="312"/>
      </w:pPr>
      <w:bookmarkStart w:id="100004" w:name="_Toc100004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5. Мнемосхема</w:t>
      </w:r>
      <w:bookmarkEnd w:id="100004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Главная страница — вертикальная технологическая схема участка: дробление → измельчение (с гидроциклоном и циркуляцией песков) → флотация → сгущение → фильтрация → отгрузка, ветка хвостов. На каждом узле показаны живые значения ключевых параметров; они обновляются в реальном времени через WebSocket.</w:t>
      </w:r>
    </w:p>
    <w:p>
      <w:pPr>
        <w:spacing w:after="160" w:before="60"/>
        <w:jc w:val="center"/>
      </w:pPr>
      <w:r>
        <w:drawing>
          <wp:inline distT="0" distB="0" distL="0" distR="0">
            <wp:extent cx="5905500" cy="3505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160" w:line="312"/>
      </w:pPr>
      <w:r>
        <w:rPr>
          <w:rFonts w:ascii="Times New Roman" w:hAnsi="Times New Roman"/>
          <w:b/>
          <w:bCs/>
          <w:color w:val="506070"/>
          <w:sz w:val="21"/>
          <w:szCs w:val="21"/>
        </w:rPr>
        <w:t xml:space="preserve">Рисунок 2 — Мнемосхема (светлая тема)</w:t>
      </w:r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Цвет узла отражает состояние: норма, тревога или нет связи. Щелчок по метрике открывает её в трендах; щелчок по узлу — паспорт объекта (см. раздел 6). Для работы в диспетчерской предусмотрена тёмная тема — переключатель в боковой панели.</w:t>
      </w:r>
    </w:p>
    <w:p>
      <w:pPr>
        <w:spacing w:after="160" w:before="60"/>
        <w:jc w:val="center"/>
      </w:pPr>
      <w:r>
        <w:drawing>
          <wp:inline distT="0" distB="0" distL="0" distR="0">
            <wp:extent cx="5905500" cy="3505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160" w:line="312"/>
      </w:pPr>
      <w:r>
        <w:rPr>
          <w:rFonts w:ascii="Times New Roman" w:hAnsi="Times New Roman"/>
          <w:b/>
          <w:bCs/>
          <w:color w:val="506070"/>
          <w:sz w:val="21"/>
          <w:szCs w:val="21"/>
        </w:rPr>
        <w:t xml:space="preserve">Рисунок 3 — Мнемосхема (тёмная тема, стиль ISA-101)</w:t>
      </w:r>
    </w:p>
    <w:p>
      <w:pPr>
        <w:pStyle w:val="Heading1"/>
        <w:spacing w:after="160" w:before="400" w:line="312"/>
      </w:pPr>
      <w:bookmarkStart w:id="100005" w:name="_Toc100005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6. Паспорт объекта (faceplate)</w:t>
      </w:r>
      <w:bookmarkEnd w:id="100005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Щелчок по узлу мнемосхемы открывает паспорт: таблицу всех параметров объекта с качеством каждого значения (good/offline) и панелями контуров управления, закреплённых за узлом. Для контура отображаются PV, уставка SP, выход MV и полоса положения; отсюда же выполняется управление (раздел 9). Кнопка «✕» закрывает паспорт.</w:t>
      </w:r>
    </w:p>
    <w:p>
      <w:pPr>
        <w:spacing w:after="160" w:before="60"/>
        <w:jc w:val="center"/>
      </w:pPr>
      <w:r>
        <w:drawing>
          <wp:inline distT="0" distB="0" distL="0" distR="0">
            <wp:extent cx="5905500" cy="3505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160" w:line="312"/>
      </w:pPr>
      <w:r>
        <w:rPr>
          <w:rFonts w:ascii="Times New Roman" w:hAnsi="Times New Roman"/>
          <w:b/>
          <w:bCs/>
          <w:color w:val="506070"/>
          <w:sz w:val="21"/>
          <w:szCs w:val="21"/>
        </w:rPr>
        <w:t xml:space="preserve">Рисунок 4 — Паспорт объекта «Флотация»</w:t>
      </w:r>
    </w:p>
    <w:p>
      <w:pPr>
        <w:pStyle w:val="Heading1"/>
        <w:spacing w:after="160" w:before="400" w:line="312"/>
      </w:pPr>
      <w:bookmarkStart w:id="100006" w:name="_Toc100006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7. Тренды</w:t>
      </w:r>
      <w:bookmarkEnd w:id="100006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Страница «Тренды» показывает графики выбранных перьев. Порядок работы: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В списке «Перья» включены текущие теги; ненужное перо снимается кнопкой «✕».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Чтобы добавить тег, найдите его в поиске справа и щёлкните по строке — тег встанет в перья со своим цветом.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Выберите диапазон: 15 минут, 1 час, 8 часов или 24 часа.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При необходимости включите нормировку — каждое перо строится к своей шкале 0–100 % диапазона тега.</w:t>
      </w:r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Разрыв линии означает отсутствие достоверных данных (качество offline) — фиктивных значений на графиках не бывает. Наведение курсора показывает числовые значения в точке. Расчётные показатели (извлечение, невязка, Бонд и др.) доступны как обычные перья.</w:t>
      </w:r>
    </w:p>
    <w:p>
      <w:pPr>
        <w:spacing w:after="160" w:before="60"/>
        <w:jc w:val="center"/>
      </w:pPr>
      <w:r>
        <w:drawing>
          <wp:inline distT="0" distB="0" distL="0" distR="0">
            <wp:extent cx="5905500" cy="3505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160" w:line="312"/>
      </w:pPr>
      <w:r>
        <w:rPr>
          <w:rFonts w:ascii="Times New Roman" w:hAnsi="Times New Roman"/>
          <w:b/>
          <w:bCs/>
          <w:color w:val="506070"/>
          <w:sz w:val="21"/>
          <w:szCs w:val="21"/>
        </w:rPr>
        <w:t xml:space="preserve">Рисунок 5 — Тренды с таблицей перьев</w:t>
      </w:r>
    </w:p>
    <w:p>
      <w:pPr>
        <w:pStyle w:val="Heading1"/>
        <w:spacing w:after="160" w:before="400" w:line="312"/>
      </w:pPr>
      <w:bookmarkStart w:id="100007" w:name="_Toc100007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8. Металлургический баланс</w:t>
      </w:r>
      <w:bookmarkEnd w:id="100007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Страница «Металлургия» — технологическая сводка участка. Вверху — баланс по трём потокам (питание, концентрат, хвосты): масса, содержание Cu, металл. Ниже — карточки показателей с формулами и тегами-источниками: извлечение, выход, коэффициент обогащения, невязка баланса, сходимость извлечений, энергия Бонда, КПД мельницы, циркулирующая нагрузка, удельные расходы.</w:t>
      </w:r>
    </w:p>
    <w:p>
      <w:pPr>
        <w:spacing w:after="160" w:before="60"/>
        <w:jc w:val="center"/>
      </w:pPr>
      <w:r>
        <w:drawing>
          <wp:inline distT="0" distB="0" distL="0" distR="0">
            <wp:extent cx="5905500" cy="3505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160" w:line="312"/>
      </w:pPr>
      <w:r>
        <w:rPr>
          <w:rFonts w:ascii="Times New Roman" w:hAnsi="Times New Roman"/>
          <w:b/>
          <w:bCs/>
          <w:color w:val="506070"/>
          <w:sz w:val="21"/>
          <w:szCs w:val="21"/>
        </w:rPr>
        <w:t xml:space="preserve">Рисунок 6 — Металлургический баланс</w:t>
      </w:r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Индикатор «баланс сходится» подтверждает достоверность данных. Если невязка или расхождение извлечений выходят за норму, сводка переходит в статус предупреждения с пояснением «данные несогласованы: проверь XRF/весы» — это признак дрейфа анализатора или отказа весов, а не ошибки расчёта.</w:t>
      </w:r>
    </w:p>
    <w:p>
      <w:pPr>
        <w:pStyle w:val="Heading1"/>
        <w:spacing w:after="160" w:before="400" w:line="312"/>
      </w:pPr>
      <w:bookmarkStart w:id="100008" w:name="_Toc100008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9. Управление контурами</w:t>
      </w:r>
      <w:bookmarkEnd w:id="100008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Страница «Управление» содержит три панели супервизорных ПИД-контуров: уровень пульпы флотомашины (lic301), удельный расход собирателя (fic301), плотность сгущённого продукта (dic401). Те же панели доступны в паспорте объекта.</w:t>
      </w:r>
    </w:p>
    <w:p>
      <w:pPr>
        <w:spacing w:after="160" w:before="60"/>
        <w:jc w:val="center"/>
      </w:pPr>
      <w:r>
        <w:drawing>
          <wp:inline distT="0" distB="0" distL="0" distR="0">
            <wp:extent cx="5905500" cy="3505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160" w:line="312"/>
      </w:pPr>
      <w:r>
        <w:rPr>
          <w:rFonts w:ascii="Times New Roman" w:hAnsi="Times New Roman"/>
          <w:b/>
          <w:bCs/>
          <w:color w:val="506070"/>
          <w:sz w:val="21"/>
          <w:szCs w:val="21"/>
        </w:rPr>
        <w:t xml:space="preserve">Рисунок 7 — Контуры управления (режим РУЧН)</w:t>
      </w:r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Перевод контура в автомат и изменение уставки: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Введите новое значение уставки в поле SP (допустимый диапазон показан в подсказке поля).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Нажмите «Изменить SP» и подтвердите действие — запись фиксируется в журнале аудита.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Для ручного управления нажмите «РУЧН» (подтвердите), введите значение выхода и нажмите «Записать MV в станцию».</w:t>
      </w:r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Важно: запись в станцию выполняется шлюзом методом FC6 только в режиме АВТО; в ручном режиме воздействие держится на введённом значении. При потере достоверного PV более чем на 10 секунд контур автоматически уходит в РУЧН, выход замораживается и формируется тревога control_fault — безопасное состояние по IEC 61511. Не оставляйте контуры в ручном режиме без присмотра.</w:t>
      </w:r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Актуаторы вне контуров (задание питателя, клапан воды мельницы, насос вспенивателя, время цикла фильтра) управляются с паспортов соответствующих узлов — разовой записью с подтверждением.</w:t>
      </w:r>
    </w:p>
    <w:p>
      <w:pPr>
        <w:pStyle w:val="Heading1"/>
        <w:spacing w:after="160" w:before="400" w:line="312"/>
      </w:pPr>
      <w:bookmarkStart w:id="100009" w:name="_Toc100009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10. Тревоги</w:t>
      </w:r>
      <w:bookmarkEnd w:id="100009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Страница «Тревоги» состоит из двух частей: активные тревоги и журнал событий. Активные сортируются по приоритету и времени; каждую можно квитировать по отдельности или отметить несколько и квитировать разом. Квитирование фиксирует имя оператора из сессии. Не квитированная критическая тревога показывает несамозакрывающийся баннер на всех страницах.</w:t>
      </w:r>
    </w:p>
    <w:p>
      <w:pPr>
        <w:spacing w:after="160" w:before="60"/>
        <w:jc w:val="center"/>
      </w:pPr>
      <w:r>
        <w:drawing>
          <wp:inline distT="0" distB="0" distL="0" distR="0">
            <wp:extent cx="5905500" cy="3505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160" w:line="312"/>
      </w:pPr>
      <w:r>
        <w:rPr>
          <w:rFonts w:ascii="Times New Roman" w:hAnsi="Times New Roman"/>
          <w:b/>
          <w:bCs/>
          <w:color w:val="506070"/>
          <w:sz w:val="21"/>
          <w:szCs w:val="21"/>
        </w:rPr>
        <w:t xml:space="preserve">Рисунок 8 — Активные тревоги и журнал событий</w:t>
      </w:r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Журнал неизменяем: события «сработала/сброшена/квитирована» с меткой времени, тегом, сообщением и оператором. Фильтр «мин. приоритет» оставляет только критические, высокие или средние. Тревога comm_loss по активу означает отсутствие достоверных данных более 10 секунд — проверьте линию связи и контроллер.</w:t>
      </w:r>
    </w:p>
    <w:p>
      <w:pPr>
        <w:pStyle w:val="Heading1"/>
        <w:spacing w:after="160" w:before="400" w:line="312"/>
      </w:pPr>
      <w:bookmarkStart w:id="100010" w:name="_Toc100010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11. Профили руды</w:t>
      </w:r>
      <w:bookmarkEnd w:id="100010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Профили задают целевые коридоры KPI и уставки тревог под тип перерабатываемой руды. Жизненный цикл: черновик → согласование → активация. Активный профиль один; его целевые значения отображаются в карточках металлургии. Раздел доступен оператору для просмотра, согласование — по роли.</w:t>
      </w:r>
    </w:p>
    <w:p>
      <w:pPr>
        <w:pStyle w:val="Heading1"/>
        <w:spacing w:after="160" w:before="400" w:line="312"/>
      </w:pPr>
      <w:bookmarkStart w:id="100011" w:name="_Toc100011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12. Администрирование</w:t>
      </w:r>
      <w:bookmarkEnd w:id="100011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Раздел «Администрирование» (роль администратора) содержит четыре вкладки: реестр КПА (активы и все 43 тега с единицами, шкалами и направлением вход/выход), запрос телеметрии (исторические данные за период, выгрузка CSV), доступ и аудит (пользователи, роли, журнал мутаций), сценарии стенда (демонстрационные возмущения).</w:t>
      </w:r>
    </w:p>
    <w:p>
      <w:pPr>
        <w:spacing w:after="160" w:before="60"/>
        <w:jc w:val="center"/>
      </w:pPr>
      <w:r>
        <w:drawing>
          <wp:inline distT="0" distB="0" distL="0" distR="0">
            <wp:extent cx="5905500" cy="3505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160" w:line="312"/>
      </w:pPr>
      <w:r>
        <w:rPr>
          <w:rFonts w:ascii="Times New Roman" w:hAnsi="Times New Roman"/>
          <w:b/>
          <w:bCs/>
          <w:color w:val="506070"/>
          <w:sz w:val="21"/>
          <w:szCs w:val="21"/>
        </w:rPr>
        <w:t xml:space="preserve">Рисунок 9 — Администрирование: реестр КПА</w:t>
      </w:r>
    </w:p>
    <w:p>
      <w:pPr>
        <w:keepNext/>
        <w:spacing w:after="80" w:before="160" w:line="312"/>
      </w:pPr>
      <w:r>
        <w:rPr>
          <w:rFonts w:ascii="Times New Roman" w:hAnsi="Times New Roman"/>
          <w:b/>
          <w:bCs/>
          <w:color w:val="506070"/>
          <w:sz w:val="21"/>
          <w:szCs w:val="21"/>
        </w:rPr>
        <w:t xml:space="preserve">Таблица 2 — Сценарии стенда (для демонстрации)</w:t>
      </w:r>
    </w:p>
    <w:tbl>
      <w:tblPr>
        <w:tblW w:type="pct" w:w="100%"/>
        <w:tblBorders>
          <w:top w:val="single" w:color="9AA6B2" w:sz="4"/>
          <w:left w:val="none" w:color="FFFFFF" w:sz="0"/>
          <w:bottom w:val="single" w:color="9AA6B2" w:sz="4"/>
          <w:right w:val="none" w:color="FFFFFF" w:sz="0"/>
          <w:insideH w:val="single" w:color="D8DEE6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Код</w:t>
            </w:r>
          </w:p>
        </w:tc>
        <w:tc>
          <w:tcPr>
            <w:tcW w:type="pct" w:w="34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Сценарий</w:t>
            </w:r>
          </w:p>
        </w:tc>
        <w:tc>
          <w:tcPr>
            <w:tcW w:type="pct" w:w="58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Эффект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Норма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Сброс активных возмущений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Шаг крепости руды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Грубее помол, ниже извлечение, рост потерь с хвостами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2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Дрейф датчика XRF питания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Накоплюющееся смещение α → предупреждение по невязке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3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Заморозка датчика P80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«Залипшее» значение крупности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4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Обрыв связи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Стенд перестаёт отвечать; offline и разрывы трендов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5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Закисление пульпы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Провал pH с самовосстановлением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6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Отказ насоса сгустителя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Рост постели и момента → тревоги li401/ei401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7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Пополнение бункера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Рост уровня рудного бункера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8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Смена типа руды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Сульфидная / смешанная / окисленная — меняется кинетика</w:t>
            </w:r>
          </w:p>
        </w:tc>
      </w:tr>
    </w:tbl>
    <w:p>
      <w:pPr>
        <w:pStyle w:val="Heading1"/>
        <w:spacing w:after="160" w:before="400" w:line="312"/>
      </w:pPr>
      <w:bookmarkStart w:id="100012" w:name="_Toc100012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13. Демонстрация (скриптованный сценарий)</w:t>
      </w:r>
      <w:bookmarkEnd w:id="100012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Скрипт demo/run-demo.sh проводит полный показ возможностей примерно за 15 минут: нормальный режим и сходящийся баланс → перевод lic301 в АВТО с шагом уставки 500→550 мм → возмущение по крепости руды (сценарий 1) и восстановление извлечения инженерными действиями → обрыв связи и восстановление → отказ насоса сгустителя (сценарий 6) с ручным вмешательством → дрейф XRF и детектор несогласованности → выгрузка CSV-отчётов. Во время демонстрации показывайте мнемосхему и тренды — причинно-следственная связь «крупность → извлечение» видна в числах.</w:t>
      </w:r>
    </w:p>
    <w:p>
      <w:pPr>
        <w:pStyle w:val="Heading1"/>
        <w:spacing w:after="160" w:before="400" w:line="312"/>
      </w:pPr>
      <w:bookmarkStart w:id="100013" w:name="_Toc100013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14. Поведение при отказах</w:t>
      </w:r>
      <w:bookmarkEnd w:id="100013"/>
    </w:p>
    <w:p>
      <w:pPr>
        <w:keepNext/>
        <w:spacing w:after="80" w:before="160" w:line="312"/>
      </w:pPr>
      <w:r>
        <w:rPr>
          <w:rFonts w:ascii="Times New Roman" w:hAnsi="Times New Roman"/>
          <w:b/>
          <w:bCs/>
          <w:color w:val="506070"/>
          <w:sz w:val="21"/>
          <w:szCs w:val="21"/>
        </w:rPr>
        <w:t xml:space="preserve">Таблица 3 — Типовые ситуации и действия</w:t>
      </w:r>
    </w:p>
    <w:tbl>
      <w:tblPr>
        <w:tblW w:type="pct" w:w="100%"/>
        <w:tblBorders>
          <w:top w:val="single" w:color="9AA6B2" w:sz="4"/>
          <w:left w:val="none" w:color="FFFFFF" w:sz="0"/>
          <w:bottom w:val="single" w:color="9AA6B2" w:sz="4"/>
          <w:right w:val="none" w:color="FFFFFF" w:sz="0"/>
          <w:insideH w:val="single" w:color="D8DEE6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Ситуация</w:t>
            </w:r>
          </w:p>
        </w:tc>
        <w:tc>
          <w:tcPr>
            <w:tcW w:type="pct" w:w="32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Что видит оператор</w:t>
            </w:r>
          </w:p>
        </w:tc>
        <w:tc>
          <w:tcPr>
            <w:tcW w:type="pct" w:w="44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Что происходит / что делать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Обрыв связи с контроллером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«Нет связи» на мнемосхеме, разрывы линий на трендах, тревога comm_loss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Значения не подменяются фиктивными. Проверить линию/контроллер; после восстановления данные продолжатся с места разрыва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Обрыв сервера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Шлюз недоступен со стороны UI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Шлюз буферизует телеметрию локально и досылает её без дублей после восстановления; актуаторы удерживают последние значения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Потеря достоверного PV контура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Тревога control_fault, контур в РУЧН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Выход заморожен (IEC 61511). Устранить причину, затем вернуть контур в АВТО — переход без скачка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Невязка баланса в предупреждении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Статус «данные несогласованы»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Вероятен дрейф XRF или весов. Сверить показания, при необходимости заменить источник данных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Переполнение сгустителя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Тревоги li401/ei401 (hi → hi_hi)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Взять dic401 в РУЧН, поднять насос разгрузки; проконтролировать снижение момента</w:t>
            </w:r>
          </w:p>
        </w:tc>
      </w:tr>
    </w:tbl>
    <w:p>
      <w:pPr>
        <w:pStyle w:val="Heading1"/>
        <w:spacing w:after="160" w:before="400" w:line="312"/>
      </w:pPr>
      <w:bookmarkStart w:id="100014" w:name="_Toc100014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15. Остановка системы</w:t>
      </w:r>
      <w:bookmarkEnd w:id="100014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Для остановки выполните kill $(cat backend/.run/{capd,edge,plantsim}.pid). Базы данных (cap.db, буфер шлюза) сохраняются между запусками; run.sh удаляет их для чистого демо. Для промышленной установки используйте unit-файлы systemd из каталога deploy/.</w:t>
      </w:r>
    </w:p>
    <w:sectPr>
      <w:headerReference w:type="default" r:id="rId8"/>
      <w:footerReference w:type="default" r:id="rId9"/>
      <w:type w:val="nextPage"/>
      <w:pgSz w:w="11906" w:h="16838" w:orient="portrait"/>
      <w:pgMar w:top="1134" w:right="850" w:bottom="1134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/>
        <w:color w:val="888888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/>
        <w:color w:val="888888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EE6" w:sz="2" w:space="4"/>
      </w:pBdr>
      <w:jc w:val="right"/>
    </w:pPr>
    <w:r>
      <w:rPr>
        <w:rFonts w:ascii="Times New Roman" w:hAnsi="Times New Roman"/>
        <w:color w:val="999999"/>
        <w:sz w:val="16"/>
        <w:szCs w:val="16"/>
      </w:rPr>
      <w:t xml:space="preserve">CAP · Руководство оператора · MVP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/>
        <w:color w:val="1A2332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00" w:line="312"/>
      <w:outlineLvl w:val="0"/>
    </w:pPr>
    <w:rPr>
      <w:rFonts w:ascii="Times New Roman" w:hAnsi="Times New Roman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 w:line="312"/>
      <w:outlineLvl w:val="1"/>
    </w:pPr>
    <w:rPr>
      <w:rFonts w:ascii="Times New Roman" w:hAnsi="Times New Roman"/>
      <w:b/>
      <w:bCs/>
      <w:color w:val="0F172A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65260b4f0a4a641acc9b705ff6b26f0df243ac24.png"/><Relationship Id="rId11" Type="http://schemas.openxmlformats.org/officeDocument/2006/relationships/image" Target="media/4b50bd7e2f75bd8e19fd7e35a019f71b4238e4c9.png"/><Relationship Id="rId12" Type="http://schemas.openxmlformats.org/officeDocument/2006/relationships/image" Target="media/2b7bd1b53648ce791bb37cfdf6285f9c1980a4fd.png"/><Relationship Id="rId13" Type="http://schemas.openxmlformats.org/officeDocument/2006/relationships/image" Target="media/d6d3cd033ef50ad0547aba39b7c3fdf26d7b2068.png"/><Relationship Id="rId14" Type="http://schemas.openxmlformats.org/officeDocument/2006/relationships/image" Target="media/64cdde0b9fc77b290d809e2fb914e066b11f8991.png"/><Relationship Id="rId15" Type="http://schemas.openxmlformats.org/officeDocument/2006/relationships/image" Target="media/ee64ce2a49ced4a87d187bbe2674cb8b5825993a.png"/><Relationship Id="rId16" Type="http://schemas.openxmlformats.org/officeDocument/2006/relationships/image" Target="media/4f544c0e7d36f22eecb90df6420255c4145fabe3.png"/><Relationship Id="rId17" Type="http://schemas.openxmlformats.org/officeDocument/2006/relationships/image" Target="media/e29e2a9af7bfbeb197789c1231b24bdb1f158221.png"/><Relationship Id="rId18" Type="http://schemas.openxmlformats.org/officeDocument/2006/relationships/image" Target="media/7a7ddeb23feae028d71864899c95a158e3c43f6c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2026-09-11T08:32:59.170Z</dcterms:created>
  <dcterms:modified xsi:type="dcterms:W3CDTF">2026-09-11T08:32:59.172Z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