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</w:tcPr>
          <w:p>
            <w:pPr>
              <w:spacing w:before="4596"/>
            </w:pPr>
          </w:p>
          <w:p>
            <w:pPr>
              <w:pBdr>
                <w:bottom w:val="single" w:color="38BDF8" w:sz="6" w:space="8"/>
              </w:pBdr>
              <w:spacing w:after="500"/>
              <w:ind w:left="1200" w:right="800"/>
            </w:pPr>
            <w:r>
              <w:rPr>
                <w:rFonts w:ascii="Times New Roman" w:hAnsi="Times New Roman"/>
                <w:color w:val="38BDF8"/>
                <w:spacing w:val="40"/>
                <w:sz w:val="18"/>
                <w:szCs w:val="18"/>
              </w:rPr>
              <w:t xml:space="preserve">C  O  M  P  L  E  X     A  U  T  O  M  A  T  I  O  N     P  R  O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80"/>
                <w:szCs w:val="80"/>
              </w:rPr>
              <w:t xml:space="preserve">ТЕХНИЧЕСКИЙ ПАСПОРТ</w:t>
            </w:r>
          </w:p>
          <w:p>
            <w:pPr>
              <w:spacing w:after="800" w:line="312"/>
              <w:ind w:left="1200" w:right="800"/>
            </w:pPr>
            <w:r>
              <w:rPr>
                <w:rFonts w:ascii="Times New Roman" w:hAnsi="Times New Roman"/>
                <w:color w:val="B8C4D4"/>
                <w:sz w:val="24"/>
                <w:szCs w:val="24"/>
              </w:rPr>
              <w:t xml:space="preserve">CAP — система оперативного диспетчерского контроля и управления участком флотационного обогащения руды (MVP)</w:t>
            </w:r>
          </w:p>
          <w:p>
            <w:pPr>
              <w:pBdr>
                <w:left w:val="single" w:color="38BDF8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5DEEA"/>
                <w:sz w:val="24"/>
                <w:szCs w:val="24"/>
              </w:rPr>
              <w:t xml:space="preserve">Класс системы: SCADA — HMI/историк с супервизорным контуром управления</w:t>
            </w:r>
          </w:p>
          <w:p>
            <w:pPr>
              <w:pBdr>
                <w:left w:val="single" w:color="38BDF8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5DEEA"/>
                <w:sz w:val="24"/>
                <w:szCs w:val="24"/>
              </w:rPr>
              <w:t xml:space="preserve">Исполнение: модульный монолит capd + шлюз edge + стенд plantsim</w:t>
            </w:r>
          </w:p>
          <w:p>
            <w:pPr>
              <w:pBdr>
                <w:left w:val="single" w:color="38BDF8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5DEEA"/>
                <w:sz w:val="24"/>
                <w:szCs w:val="24"/>
              </w:rPr>
              <w:t xml:space="preserve">Версия: MVP 1.0 — сентябрь 2026 г.</w:t>
            </w:r>
          </w:p>
          <w:p>
            <w:pPr>
              <w:pBdr>
                <w:left w:val="single" w:color="38BDF8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5DEEA"/>
                <w:sz w:val="24"/>
                <w:szCs w:val="24"/>
              </w:rPr>
              <w:t xml:space="preserve">Статус: демонстрационная версия (одиночный узел)</w:t>
            </w:r>
          </w:p>
          <w:p>
            <w:pPr>
              <w:spacing w:before="4596"/>
            </w:pPr>
          </w:p>
          <w:p>
            <w:pPr>
              <w:pBdr>
                <w:top w:val="single" w:color="38BDF8" w:sz="2" w:space="8"/>
              </w:pBdr>
              <w:spacing w:before="200"/>
              <w:ind w:left="1200" w:right="800"/>
            </w:pPr>
            <w:r>
              <w:rPr>
                <w:rFonts w:ascii="Times New Roman" w:hAnsi="Times New Roman"/>
                <w:color w:val="7C8DA6"/>
                <w:sz w:val="16"/>
                <w:szCs w:val="16"/>
              </w:rPr>
              <w:t xml:space="preserve">CAP · Complex Automation Pro</w:t>
            </w:r>
            <w:r>
              <w:t xml:space="preserve">                                        </w:t>
            </w:r>
            <w:r>
              <w:rPr>
                <w:rFonts w:ascii="Times New Roman" w:hAnsi="Times New Roman"/>
                <w:color w:val="7C8DA6"/>
                <w:sz w:val="16"/>
                <w:szCs w:val="16"/>
              </w:rPr>
              <w:t xml:space="preserve">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СОДЕРЖАНИЕ</w:t>
      </w:r>
    </w:p>
    <w:sdt>
      <w:sdtPr>
        <w:alias w:val="Оглавление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Общие сведения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Назначение и цели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Состав и архитектура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3.1. Компоненты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3.2. Схема взаимодействия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3.3. Правила зависимостей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4. Технологический объект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5. Функции системы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5.1. Сбор данных и шлюз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5.2. Историк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5.3. Металлургические расчёты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5.4. Супервизорное управление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5.5. Тревоги (ISA-18.2)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5.6. Web-HMI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6. Входы, выходы и карта регистров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6.1. Датчики (Input Registers, FC4)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6.2. Актуаторы и сценарные регистры (Holding Registers, FC3/FC6)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7. Технические характеристики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8. Безопасность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9. Среда эксплуатации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10. Комплектность поставки и документации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11. Ограничения текущей версии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12. Испытания и приёмка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Приложение А. Использованные стандарты и литература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щёлкните по оглавлению правой кнопкой мыши и выберите «Обновить поле», чтобы обновить номера страниц.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134" w:right="850" w:bottom="1134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400" w:line="312"/>
      </w:pPr>
      <w:bookmarkStart w:id="100000" w:name="_Toc100000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1. Общие сведения</w:t>
      </w:r>
      <w:bookmarkEnd w:id="100000"/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1 — Реквизиты системы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72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CAP (Complex Automation Pro) — АСУ ТП участка флотационного обогащения руды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Оперативный диспетчерский контроль и супервизорное управление технологическим участком обогащения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Класс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SCADA-класс: HMI/историк с супервизорным контуром управления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Версия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MVP 1.0 (сентябрь 2026)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Исполнение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Одиночный узел (модульный монолит), без кластеризации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Язык интерфейса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Русский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Стек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Go 1.25 (сервер), React 18 + TypeScript + Vite + Tailwind (HMI), SQLite (WAL) / PostgreSQL, Modbus TCP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Лицензия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MIT</w:t>
            </w:r>
          </w:p>
        </w:tc>
      </w:tr>
    </w:tbl>
    <w:p>
      <w:pPr>
        <w:pStyle w:val="Heading1"/>
        <w:spacing w:after="160" w:before="400" w:line="312"/>
      </w:pPr>
      <w:bookmarkStart w:id="100001" w:name="_Toc100001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2. Назначение и цели</w:t>
      </w:r>
      <w:bookmarkEnd w:id="100001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Система предназначена для полного контура автоматизации участка флотационного обогащения медно-порфировой руды производительностью около 100 т/ч: от сбора телеметрии по промышленному протоколу до супервизорного управления и оценки технологической эффективности.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Сбор телеметрии по реальному Modbus TCP: платформа не знает источника данных — все значения поступают через драйвер шлюза и контракт приёма ingest.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Профессиональные инженерные расчёты: металлургический баланс по двухпродуктовой формуле, извлечение, выход, коэффициент обогащения, энергия измельчения по Бонду, циркулирующая нагрузка, удельные расходы реагентов; каждый показатель сопровождается строкой формулы и тегами-источниками.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Управление, а не только мониторинг: три супервизорные ПИД-петли с режимами АВТО/РУЧН, уставками, ограничениями, watchdog-защитой и записью воздействий в Modbus (FC6).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Управление тревогами по ISA-18.2: рационализированные уставки, приоритеты, квитирование, неизменяемый журнал событий.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HMI по мотивам ISA-101: мнемосхема с паспортом объекта (faceplate), тренды с таблицей перьев, металлургический баланс, журнал тревог.</w:t>
      </w:r>
    </w:p>
    <w:p>
      <w:pPr>
        <w:pStyle w:val="Heading1"/>
        <w:spacing w:after="160" w:before="400" w:line="312"/>
      </w:pPr>
      <w:bookmarkStart w:id="100002" w:name="_Toc100002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3. Состав и архитектура</w:t>
      </w:r>
      <w:bookmarkEnd w:id="100002"/>
    </w:p>
    <w:p>
      <w:pPr>
        <w:pStyle w:val="Heading2"/>
        <w:spacing w:after="120" w:before="280" w:line="312"/>
      </w:pPr>
      <w:bookmarkStart w:id="100003" w:name="_Toc100003"/>
      <w:r>
        <w:rPr>
          <w:rFonts w:ascii="Times New Roman" w:hAnsi="Times New Roman"/>
          <w:b/>
          <w:bCs/>
          <w:color w:val="0F172A"/>
          <w:sz w:val="28"/>
          <w:szCs w:val="28"/>
        </w:rPr>
        <w:t xml:space="preserve">3.1. Компоненты</w:t>
      </w:r>
      <w:bookmarkEnd w:id="100003"/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2 — Состав программных компонентов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Компонент</w:t>
            </w:r>
          </w:p>
        </w:tc>
        <w:tc>
          <w:tcPr>
            <w:tcW w:type="pct" w:w="28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Процесс</w:t>
            </w:r>
          </w:p>
        </w:tc>
        <w:tc>
          <w:tcPr>
            <w:tcW w:type="pct" w:w="58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capd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Единственный серверный бинарник, порт 8000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REST API + WebSocket, аутентификация и RBAC, приём телеметрии (идемпотентно), историк, тревоги ISA-18.2, ПИД-контуры, металлургические расчёты, реестр активов/тегов, встроенный SPA-интерфейс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edge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Шлюз сбора, отдельный процесс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Опрос Modbus TCP с периодом 1 с, нормализация к контракту телеметрии, буферизация store-and-forward при недоступности сервера (SQLite с подтверждением доставки), FC6-мост записи актуаторов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plantsim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Демонстрационный стенд, порты 1502 (Modbus) и 15080 (HTTP)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Математическая модель процесса обогащения за настоящим Modbus TCP сервером (FC3/FC4/FC6, ручной разбор MBAP) + HTTP-интерфейс сценариев. В эксплуатации заменяется контроллерами завода</w:t>
            </w:r>
          </w:p>
        </w:tc>
      </w:tr>
    </w:tbl>
    <w:p>
      <w:pPr>
        <w:pStyle w:val="Heading2"/>
        <w:spacing w:after="120" w:before="280" w:line="312"/>
      </w:pPr>
      <w:bookmarkStart w:id="100004" w:name="_Toc100004"/>
      <w:r>
        <w:rPr>
          <w:rFonts w:ascii="Times New Roman" w:hAnsi="Times New Roman"/>
          <w:b/>
          <w:bCs/>
          <w:color w:val="0F172A"/>
          <w:sz w:val="28"/>
          <w:szCs w:val="28"/>
        </w:rPr>
        <w:t xml:space="preserve">3.2. Схема взаимодействия</w:t>
      </w:r>
      <w:bookmarkEnd w:id="100004"/>
    </w:p>
    <w:p>
      <w:pPr>
        <w:shd w:fill="F4F7FA" w:val="clear"/>
        <w:spacing w:after="120" w:before="60" w:line="276"/>
        <w:ind w:left="400"/>
      </w:pPr>
      <w:r>
        <w:rPr>
          <w:rFonts w:ascii="Courier New" w:hAnsi="Courier New"/>
          <w:color w:val="1A2332"/>
          <w:sz w:val="16"/>
          <w:szCs w:val="16"/>
        </w:rPr>
        <w:t xml:space="preserve">                    ┌──────────────────────────────────────────┐</w:t>
      </w:r>
    </w:p>
    <w:p>
      <w:pPr>
        <w:shd w:fill="F4F7FA" w:val="clear"/>
        <w:spacing w:after="120" w:before="60" w:line="276"/>
        <w:ind w:left="400"/>
      </w:pPr>
      <w:r>
        <w:rPr>
          <w:rFonts w:ascii="Courier New" w:hAnsi="Courier New"/>
          <w:color w:val="1A2332"/>
          <w:sz w:val="16"/>
          <w:szCs w:val="16"/>
        </w:rPr>
        <w:t xml:space="preserve">                    │  capd — единственный сервер :8000        │</w:t>
      </w:r>
    </w:p>
    <w:p>
      <w:pPr>
        <w:shd w:fill="F4F7FA" w:val="clear"/>
        <w:spacing w:after="120" w:before="60" w:line="276"/>
        <w:ind w:left="400"/>
      </w:pPr>
      <w:r>
        <w:rPr>
          <w:rFonts w:ascii="Courier New" w:hAnsi="Courier New"/>
          <w:color w:val="1A2332"/>
          <w:sz w:val="16"/>
          <w:szCs w:val="16"/>
        </w:rPr>
        <w:t xml:space="preserve">                    │  api · auth · ingest · historian ·       │</w:t>
      </w:r>
    </w:p>
    <w:p>
      <w:pPr>
        <w:shd w:fill="F4F7FA" w:val="clear"/>
        <w:spacing w:after="120" w:before="60" w:line="276"/>
        <w:ind w:left="400"/>
      </w:pPr>
      <w:r>
        <w:rPr>
          <w:rFonts w:ascii="Courier New" w:hAnsi="Courier New"/>
          <w:color w:val="1A2332"/>
          <w:sz w:val="16"/>
          <w:szCs w:val="16"/>
        </w:rPr>
        <w:t xml:space="preserve">                    │  alarms · control · metallurgy ·         │</w:t>
      </w:r>
    </w:p>
    <w:p>
      <w:pPr>
        <w:shd w:fill="F4F7FA" w:val="clear"/>
        <w:spacing w:after="120" w:before="60" w:line="276"/>
        <w:ind w:left="400"/>
      </w:pPr>
      <w:r>
        <w:rPr>
          <w:rFonts w:ascii="Courier New" w:hAnsi="Courier New"/>
          <w:color w:val="1A2332"/>
          <w:sz w:val="16"/>
          <w:szCs w:val="16"/>
        </w:rPr>
        <w:t xml:space="preserve">                    │  registry · hub · store · web (SPA)      │</w:t>
      </w:r>
    </w:p>
    <w:p>
      <w:pPr>
        <w:shd w:fill="F4F7FA" w:val="clear"/>
        <w:spacing w:after="120" w:before="60" w:line="276"/>
        <w:ind w:left="400"/>
      </w:pPr>
      <w:r>
        <w:rPr>
          <w:rFonts w:ascii="Courier New" w:hAnsi="Courier New"/>
          <w:color w:val="1A2332"/>
          <w:sz w:val="16"/>
          <w:szCs w:val="16"/>
        </w:rPr>
        <w:t xml:space="preserve">                    └────────▲──────────────────┬──────────────┘</w:t>
      </w:r>
    </w:p>
    <w:p>
      <w:pPr>
        <w:shd w:fill="F4F7FA" w:val="clear"/>
        <w:spacing w:after="120" w:before="60" w:line="276"/>
        <w:ind w:left="400"/>
      </w:pPr>
      <w:r>
        <w:rPr>
          <w:rFonts w:ascii="Courier New" w:hAnsi="Courier New"/>
          <w:color w:val="1A2332"/>
          <w:sz w:val="16"/>
          <w:szCs w:val="16"/>
        </w:rPr>
        <w:t xml:space="preserve">              HTTP batch     │                  │ GET /control/output</w:t>
      </w:r>
    </w:p>
    <w:p>
      <w:pPr>
        <w:shd w:fill="F4F7FA" w:val="clear"/>
        <w:spacing w:after="120" w:before="60" w:line="276"/>
        <w:ind w:left="400"/>
      </w:pPr>
      <w:r>
        <w:rPr>
          <w:rFonts w:ascii="Courier New" w:hAnsi="Courier New"/>
          <w:color w:val="1A2332"/>
          <w:sz w:val="16"/>
          <w:szCs w:val="16"/>
        </w:rPr>
        <w:t xml:space="preserve">   ┌──────────┐  Modbus TCP   │      FC6-мост    │</w:t>
      </w:r>
    </w:p>
    <w:p>
      <w:pPr>
        <w:shd w:fill="F4F7FA" w:val="clear"/>
        <w:spacing w:after="120" w:before="60" w:line="276"/>
        <w:ind w:left="400"/>
      </w:pPr>
      <w:r>
        <w:rPr>
          <w:rFonts w:ascii="Courier New" w:hAnsi="Courier New"/>
          <w:color w:val="1A2332"/>
          <w:sz w:val="16"/>
          <w:szCs w:val="16"/>
        </w:rPr>
        <w:t xml:space="preserve">   │ plantsim │◄──────────────┴──────────────────┤</w:t>
      </w:r>
    </w:p>
    <w:p>
      <w:pPr>
        <w:shd w:fill="F4F7FA" w:val="clear"/>
        <w:spacing w:after="120" w:before="60" w:line="276"/>
        <w:ind w:left="400"/>
      </w:pPr>
      <w:r>
        <w:rPr>
          <w:rFonts w:ascii="Courier New" w:hAnsi="Courier New"/>
          <w:color w:val="1A2332"/>
          <w:sz w:val="16"/>
          <w:szCs w:val="16"/>
        </w:rPr>
        <w:t xml:space="preserve">   │ :1502/:15080                            │</w:t>
      </w:r>
    </w:p>
    <w:p>
      <w:pPr>
        <w:shd w:fill="F4F7FA" w:val="clear"/>
        <w:spacing w:after="120" w:before="60" w:line="276"/>
        <w:ind w:left="400"/>
      </w:pPr>
      <w:r>
        <w:rPr>
          <w:rFonts w:ascii="Courier New" w:hAnsi="Courier New"/>
          <w:color w:val="1A2332"/>
          <w:sz w:val="16"/>
          <w:szCs w:val="16"/>
        </w:rPr>
        <w:t xml:space="preserve">   └──────────┘        edge (шлюз сбора) ────┘</w:t>
      </w:r>
    </w:p>
    <w:p>
      <w:pPr>
        <w:shd w:fill="F4F7FA" w:val="clear"/>
        <w:spacing w:after="120" w:before="60" w:line="276"/>
        <w:ind w:left="400"/>
      </w:pPr>
      <w:r>
        <w:rPr>
          <w:rFonts w:ascii="Courier New" w:hAnsi="Courier New"/>
          <w:color w:val="1A2332"/>
          <w:sz w:val="16"/>
          <w:szCs w:val="16"/>
        </w:rPr>
        <w:t xml:space="preserve">   (демо-стенд)        store-and-forward буфер</w:t>
      </w:r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Единственный путь телеметрии: plantsim/ПЛК → Modbus TCP → edge → приём (идемпотентно) → capd → историк и WebSocket. Виртуальные расчётные теги calc_* проходят через тот же контракт приёма.</w:t>
      </w:r>
    </w:p>
    <w:p>
      <w:pPr>
        <w:pStyle w:val="Heading2"/>
        <w:spacing w:after="120" w:before="280" w:line="312"/>
      </w:pPr>
      <w:bookmarkStart w:id="100005" w:name="_Toc100005"/>
      <w:r>
        <w:rPr>
          <w:rFonts w:ascii="Times New Roman" w:hAnsi="Times New Roman"/>
          <w:b/>
          <w:bCs/>
          <w:color w:val="0F172A"/>
          <w:sz w:val="28"/>
          <w:szCs w:val="28"/>
        </w:rPr>
        <w:t xml:space="preserve">3.3. Правила зависимостей</w:t>
      </w:r>
      <w:bookmarkEnd w:id="100005"/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SQL выполняется только в модуле store (единый владелец базы).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Модули не вызывают друг друга по HTTP; обмен — через событийную шину hub и вызовы публичных функций доменных пакетов.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Любая телеметрия проходит валидацию контракта schema; прямая запись показаний в базу в обход приёма отсутствует.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Транспортный слой api не содержит формул и бизнес-правил.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Конфигурация — только через переменные окружения, значения по умолчанию безопасные.</w:t>
      </w:r>
    </w:p>
    <w:p>
      <w:pPr>
        <w:pStyle w:val="Heading1"/>
        <w:spacing w:after="160" w:before="400" w:line="312"/>
      </w:pPr>
      <w:bookmarkStart w:id="100006" w:name="_Toc100006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4. Технологический объект</w:t>
      </w:r>
      <w:bookmarkEnd w:id="100006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Объект — участок флотационного обогащения медно-порфировой руды. Технологическая цепочка: бункер руды → дробилка → шаровая мельница с гидроциклоном (классификация) → флотация (rougher/scavenger с подачей собирателя и вспенивателя) → сгуститель → вакуум-фильтр → отгрузка кека; ветка хвостов направляется в хвостохранилище.</w:t>
      </w:r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3 — Номинальные параметры (стационарный режим)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5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45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Производительность по руде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100 т/ч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Содержание Cu в питании (α)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0,80 %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Содержание Cu в концентрате (β)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22 %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Содержание Cu в хвостах (θ)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0,08 %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Извлечение ε (расчёт)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≈ 90,3 %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Выход концентрата γ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≈ 3,3 % (3,29 т/ч)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Крупность слива P80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150 мкм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Крупность питания F80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6 500 мкм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Циркулирующая нагрузка CL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≈ 250 %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Индекс работы Бонда Wi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14,5 кВт·ч/т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Мощность мельницы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≈ 1 250 кВт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pH флотации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10,2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Твёрдость питания флотации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30 % тв.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Плотность сгущённого продукта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45 % тв.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Влажность кека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10,5 %</w:t>
            </w:r>
          </w:p>
        </w:tc>
      </w:tr>
    </w:tbl>
    <w:p>
      <w:pPr>
        <w:pStyle w:val="Heading1"/>
        <w:spacing w:after="160" w:before="400" w:line="312"/>
      </w:pPr>
      <w:bookmarkStart w:id="100007" w:name="_Toc100007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5. Функции системы</w:t>
      </w:r>
      <w:bookmarkEnd w:id="100007"/>
    </w:p>
    <w:p>
      <w:pPr>
        <w:pStyle w:val="Heading2"/>
        <w:spacing w:after="120" w:before="280" w:line="312"/>
      </w:pPr>
      <w:bookmarkStart w:id="100008" w:name="_Toc100008"/>
      <w:r>
        <w:rPr>
          <w:rFonts w:ascii="Times New Roman" w:hAnsi="Times New Roman"/>
          <w:b/>
          <w:bCs/>
          <w:color w:val="0F172A"/>
          <w:sz w:val="28"/>
          <w:szCs w:val="28"/>
        </w:rPr>
        <w:t xml:space="preserve">5.1. Сбор данных и шлюз</w:t>
      </w:r>
      <w:bookmarkEnd w:id="100008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Шлюз опрашивает все теги с периодом 1 с по Modbus TCP, нормализует значения к инженерным единицам по масштабным коэффициентам и передаёт на сервер батчами с идемпотентной повторной доставкой (message_id). Актуаторы читаются как телеметрия — обратная связь позиции. При недоступности сервера телеметрия накапливается в локальном буфере SQLite и после восстановления соединения досылается полностью, без дублей и потери порядка.</w:t>
      </w:r>
    </w:p>
    <w:p>
      <w:pPr>
        <w:pStyle w:val="Heading2"/>
        <w:spacing w:after="120" w:before="280" w:line="312"/>
      </w:pPr>
      <w:bookmarkStart w:id="100009" w:name="_Toc100009"/>
      <w:r>
        <w:rPr>
          <w:rFonts w:ascii="Times New Roman" w:hAnsi="Times New Roman"/>
          <w:b/>
          <w:bCs/>
          <w:color w:val="0F172A"/>
          <w:sz w:val="28"/>
          <w:szCs w:val="28"/>
        </w:rPr>
        <w:t xml:space="preserve">5.2. Историк</w:t>
      </w:r>
      <w:bookmarkEnd w:id="100009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Хранение показаний — SQLite в режиме WAL (опционально PostgreSQL). Глубина хранения — не менее 30 суток при 35 тегах с частотой 1 Гц. Предоставляются мгновенные значения, агрегаты по интервалам и выгрузки CSV.</w:t>
      </w:r>
    </w:p>
    <w:p>
      <w:pPr>
        <w:pStyle w:val="Heading2"/>
        <w:spacing w:after="120" w:before="280" w:line="312"/>
      </w:pPr>
      <w:bookmarkStart w:id="100010" w:name="_Toc100010"/>
      <w:r>
        <w:rPr>
          <w:rFonts w:ascii="Times New Roman" w:hAnsi="Times New Roman"/>
          <w:b/>
          <w:bCs/>
          <w:color w:val="0F172A"/>
          <w:sz w:val="28"/>
          <w:szCs w:val="28"/>
        </w:rPr>
        <w:t xml:space="preserve">5.3. Металлургические расчёты</w:t>
      </w:r>
      <w:bookmarkEnd w:id="100010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Расчёты выполняются на сервере каждые 5 секунд; результаты публикуются как виртуальные теги calc_* (попадают в историк и тренды) и в сводке API. Каждый показатель содержит строку формулы и теги-источники (аудируемость расчёта).</w:t>
      </w:r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4 — Основные расчётные показатели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2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Показатель</w:t>
            </w:r>
          </w:p>
        </w:tc>
        <w:tc>
          <w:tcPr>
            <w:tcW w:type="pct" w:w="42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Формула</w:t>
            </w:r>
          </w:p>
        </w:tc>
        <w:tc>
          <w:tcPr>
            <w:tcW w:type="pct" w:w="26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Норма/цель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Извлечение Cu, ε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ε = β(α−θ)/(α(β−θ))×100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≥ 88 %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Выход концентрата, γ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γ = (α−θ)/(β−θ)×100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по балансу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Коэффициент обогащения, K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K = β/α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Съём концентрата (mass pull)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 = wi301/fi101×100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Невязка массового баланса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err = (Qпит − Qконц − Qхв)/Qпит×100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≤ ±1 %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Сходимость извлечений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δ = (εдвухпрод − εмасс)/εдвухпрод×100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≤ 5 % отн.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Удельная энергия по Бонду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W = 10×Wi×(1/√P80 − 1/√F80)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≈ 10,0 кВт·ч/т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Энергетический КПД мельницы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η = W×Qруда/EI×100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≈ 80 %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Циркулирующая нагрузка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CL = (Qцикл/Qсвеж)×100 − 100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≈ 250 %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Удельный расход собирателя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q = Qсоб×60/Qруда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≈ 108 мл/т</w:t>
            </w:r>
          </w:p>
        </w:tc>
      </w:tr>
    </w:tbl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Превышение нормы невязки или расхождение извлечений переводит сводку в статус «предупреждение» с пояснением «данные несогласованы: проверь XRF/весы» — встроенный детектор недостоверных данных.</w:t>
      </w:r>
    </w:p>
    <w:p>
      <w:pPr>
        <w:pStyle w:val="Heading2"/>
        <w:spacing w:after="120" w:before="280" w:line="312"/>
      </w:pPr>
      <w:bookmarkStart w:id="100011" w:name="_Toc100011"/>
      <w:r>
        <w:rPr>
          <w:rFonts w:ascii="Times New Roman" w:hAnsi="Times New Roman"/>
          <w:b/>
          <w:bCs/>
          <w:color w:val="0F172A"/>
          <w:sz w:val="28"/>
          <w:szCs w:val="28"/>
        </w:rPr>
        <w:t xml:space="preserve">5.4. Супервизорное управление</w:t>
      </w:r>
      <w:bookmarkEnd w:id="100011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Три ПИД-петли выполняются на сервере. Запись в станцию выполняет только FC6-мост шлюза: каждую секунду он опрашивает сервер и пишет значение актуатора методом FC6 исключительно в режиме АВТО. При недоступности сервера мост удерживает последние значения (актуаторы не сбрасываются в ноль — принцип безопасности по IEC 61511). Начальное состояние каналов — «удержание»: стенд/станция живут собственными значениями.</w:t>
      </w:r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5 — Параметры контуров управления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Контур</w:t>
            </w:r>
          </w:p>
        </w:tc>
        <w:tc>
          <w:tcPr>
            <w:tcW w:type="pct" w:w="34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Регулируемая величина</w:t>
            </w:r>
          </w:p>
        </w:tc>
        <w:tc>
          <w:tcPr>
            <w:tcW w:type="pct" w:w="24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Воздействие</w:t>
            </w:r>
          </w:p>
        </w:tc>
        <w:tc>
          <w:tcPr>
            <w:tcW w:type="pct" w:w="10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SP ном.</w:t>
            </w:r>
          </w:p>
        </w:tc>
        <w:tc>
          <w:tcPr>
            <w:tcW w:type="pct" w:w="10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Диапазон SP</w:t>
            </w:r>
          </w:p>
        </w:tc>
        <w:tc>
          <w:tcPr>
            <w:tcW w:type="pct" w:w="10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Kp / Ki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lic301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Уровень пульпы флотомашины (li301, мм)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Хвостовая задвижка lc301, %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500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450–650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−0,06 / −0,02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fic301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Удельный расход собирателя (qi301×60/fi101, мл/т)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Задание насоса fc301, мл/мин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108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30–300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−1,2 / −0,4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dic401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Плотность сгущённого продукта (di401, % тв.)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Насос разгрузки fc401, %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45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40–55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−2,5 / −0,8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Режимы: АВТО (ПИД активен) и РУЧН (выход задаётся оператором); смена режима и запись уставок — только с подтверждением и правом control.write, фиксируется в аудите.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Безбамперный переход: при переводе в АВТО интеграл инициализируется от фактической позиции актуатора.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Watchdog: при отсутствии достоверного PV дольше 10 секунд контур принудительно переводится в РУЧН, выход замораживается, формируется тревога control_fault.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Ручные актуаторы вне контуров (задание питателя, клапан воды мельницы, насос вспенивателя, время цикла фильтра) — разовая запись с подтверждением, аудируется.</w:t>
      </w:r>
    </w:p>
    <w:p>
      <w:pPr>
        <w:pStyle w:val="Heading2"/>
        <w:spacing w:after="120" w:before="280" w:line="312"/>
      </w:pPr>
      <w:bookmarkStart w:id="100012" w:name="_Toc100012"/>
      <w:r>
        <w:rPr>
          <w:rFonts w:ascii="Times New Roman" w:hAnsi="Times New Roman"/>
          <w:b/>
          <w:bCs/>
          <w:color w:val="0F172A"/>
          <w:sz w:val="28"/>
          <w:szCs w:val="28"/>
        </w:rPr>
        <w:t xml:space="preserve">5.5. Тревоги (ISA-18.2)</w:t>
      </w:r>
      <w:bookmarkEnd w:id="100012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Оценка пределов выполняется на сервере на каждом значении телеметрии. Приоритеты рационализированы; задержка срабатывания 3 с для критических и 10 с для остальных, гистерезис 1 % шкалы. Журнал alarm_events неизменяем и содержит события «сработала/сброшена/квитирована». Квитирование выполняется от имени оператора из сессии. При потере достоверных данных по активу более 10 с формируется тревога comm_loss.</w:t>
      </w:r>
    </w:p>
    <w:p>
      <w:pPr>
        <w:pStyle w:val="Heading2"/>
        <w:spacing w:after="120" w:before="280" w:line="312"/>
      </w:pPr>
      <w:bookmarkStart w:id="100013" w:name="_Toc100013"/>
      <w:r>
        <w:rPr>
          <w:rFonts w:ascii="Times New Roman" w:hAnsi="Times New Roman"/>
          <w:b/>
          <w:bCs/>
          <w:color w:val="0F172A"/>
          <w:sz w:val="28"/>
          <w:szCs w:val="28"/>
        </w:rPr>
        <w:t xml:space="preserve">5.6. Web-HMI</w:t>
      </w:r>
      <w:bookmarkEnd w:id="100013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Интерфейс на русском языке, восемь страниц: мнемосхема (главная), тренды, металлургия, управление, тревоги, профили руды, администрирование, вход. Реализованы паспорт объекта (faceplate) по клику на узел мнемосхемы, тренды с таблицей перьев и диапазонами 15 мин — 24 ч, светлая и тёмная темы, системные шрифты (работа без внешней сети), tabular-nums для значений. Один WebSocket-канал на приложение; команды управления — только через REST с подтверждением.</w:t>
      </w:r>
    </w:p>
    <w:p>
      <w:pPr>
        <w:pStyle w:val="Heading1"/>
        <w:spacing w:after="160" w:before="400" w:line="312"/>
      </w:pPr>
      <w:bookmarkStart w:id="100014" w:name="_Toc100014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6. Входы, выходы и карта регистров</w:t>
      </w:r>
      <w:bookmarkEnd w:id="100014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Подключение: Modbus TCP, сервер стенда/контроллер, unit-id 1. Значения — int16 big-endian с масштабным коэффициентом. Всего 43 тега: 28 датчиков (входные), 7 актуаторов (выходные) и 8 расчётных виртуальных тегов.</w:t>
      </w:r>
    </w:p>
    <w:p>
      <w:pPr>
        <w:pStyle w:val="Heading2"/>
        <w:spacing w:after="120" w:before="280" w:line="312"/>
      </w:pPr>
      <w:bookmarkStart w:id="100015" w:name="_Toc100015"/>
      <w:r>
        <w:rPr>
          <w:rFonts w:ascii="Times New Roman" w:hAnsi="Times New Roman"/>
          <w:b/>
          <w:bCs/>
          <w:color w:val="0F172A"/>
          <w:sz w:val="28"/>
          <w:szCs w:val="28"/>
        </w:rPr>
        <w:t xml:space="preserve">6.1. Датчики (Input Registers, FC4)</w:t>
      </w:r>
      <w:bookmarkEnd w:id="100015"/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6 — Карта входных регистров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Адрес</w:t>
            </w:r>
          </w:p>
        </w:tc>
        <w:tc>
          <w:tcPr>
            <w:tcW w:type="pct" w:w="14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Тег</w:t>
            </w:r>
          </w:p>
        </w:tc>
        <w:tc>
          <w:tcPr>
            <w:tcW w:type="pct" w:w="40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Описание</w:t>
            </w:r>
          </w:p>
        </w:tc>
        <w:tc>
          <w:tcPr>
            <w:tcW w:type="pct" w:w="12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Ед.</w:t>
            </w:r>
          </w:p>
        </w:tc>
        <w:tc>
          <w:tcPr>
            <w:tcW w:type="pct" w:w="12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Масштаб</w:t>
            </w:r>
          </w:p>
        </w:tc>
        <w:tc>
          <w:tcPr>
            <w:tcW w:type="pct" w:w="12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Шкала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fi101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Производительность питателя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т/ч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0–200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ei101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Мощность дробилки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кВт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0–400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2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ei201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Мощность мельницы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кВт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0–2500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fi201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Свежая вода в мельницу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м³/ч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0–300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4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pi201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Давление питания гидроциклона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кПа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0–350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5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di202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Плотность слива гидроциклона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г/л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1300–1750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6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xi201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Крупность слива P80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мкм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40–300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7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fi202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Расход пульпы на гидроциклон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м³/ч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0–600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8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li301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Уровень пульпы во флотомашине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мм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200–800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9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fi301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Расход воздуха аэрации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м³/ч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0–600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10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ai301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pH пульпы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0,01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4–13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11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qi301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Расход собирателя (факт)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мл/мин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0–500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12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qi302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Расход вспенивателя (факт)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мл/мин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0–300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13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di301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Плотность пульпы флотации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% тв.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10–45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14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afi301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Содержание Cu в питании, α (XRF)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%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0,001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0,1–2,0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15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afc301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Содержание Cu в концентрате, β (XRF)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%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0,01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5–30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16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aft301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Содержание Cu в хвостах, θ (XRF)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%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0,001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0,01–0,5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17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wi301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Массовый расход концентрата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т/ч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0,01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0–10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18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wi302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Массовый расход хвостов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т/ч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0–200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19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li401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Уровень постели сгустителя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м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0,01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0–8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20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di401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Плотность сгущённого продукта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% тв.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20–70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21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ei401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Момент гребкового устройства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%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0–100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22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fi401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Доза флокулянта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г/т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0–50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23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pi501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Вакуум фильтра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кПа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0–80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24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mi501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Влажность кека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%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0,01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4–25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25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wi501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Производительность по сухому кеку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т/ч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0,01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0–10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26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tit101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Температура пульпы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°C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5–45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27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si101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Уровень рудного бункера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%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0,1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0–100</w:t>
            </w:r>
          </w:p>
        </w:tc>
      </w:tr>
    </w:tbl>
    <w:p>
      <w:pPr>
        <w:pStyle w:val="Heading2"/>
        <w:spacing w:after="120" w:before="280" w:line="312"/>
      </w:pPr>
      <w:bookmarkStart w:id="100016" w:name="_Toc100016"/>
      <w:r>
        <w:rPr>
          <w:rFonts w:ascii="Times New Roman" w:hAnsi="Times New Roman"/>
          <w:b/>
          <w:bCs/>
          <w:color w:val="0F172A"/>
          <w:sz w:val="28"/>
          <w:szCs w:val="28"/>
        </w:rPr>
        <w:t xml:space="preserve">6.2. Актуаторы и сценарные регистры (Holding Registers, FC3/FC6)</w:t>
      </w:r>
      <w:bookmarkEnd w:id="100016"/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7 — Карта регистров актуаторов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Адрес</w:t>
            </w:r>
          </w:p>
        </w:tc>
        <w:tc>
          <w:tcPr>
            <w:tcW w:type="pct" w:w="18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Тег</w:t>
            </w:r>
          </w:p>
        </w:tc>
        <w:tc>
          <w:tcPr>
            <w:tcW w:type="pct" w:w="40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Описание</w:t>
            </w:r>
          </w:p>
        </w:tc>
        <w:tc>
          <w:tcPr>
            <w:tcW w:type="pct" w:w="12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Ед.</w:t>
            </w:r>
          </w:p>
        </w:tc>
        <w:tc>
          <w:tcPr>
            <w:tcW w:type="pct" w:w="20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Диапазон записи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hc101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Задание питателя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т/ч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0–200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fc201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Клапан воды мельницы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%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0–100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fc301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Задание насоса собирателя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мл/мин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0–500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fc302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Задание насоса вспенивателя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мл/мин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0–300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lc301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Хвостовая задвижка флотомашины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%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0–100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5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fc401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Скорость насоса разгрузки сгустителя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%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0–100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6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hi501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Время цикла фильтра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10–120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7–8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simcmd / simval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Сценарные регистры стенда (код и параметр)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0–255 / ±32767</w:t>
            </w:r>
          </w:p>
        </w:tc>
      </w:tr>
    </w:tbl>
    <w:p>
      <w:pPr>
        <w:pStyle w:val="Heading1"/>
        <w:spacing w:after="160" w:before="400" w:line="312"/>
      </w:pPr>
      <w:bookmarkStart w:id="100017" w:name="_Toc100017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7. Технические характеристики</w:t>
      </w:r>
      <w:bookmarkEnd w:id="100017"/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8 — Нефункциональные показатели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2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Показатель</w:t>
            </w:r>
          </w:p>
        </w:tc>
        <w:tc>
          <w:tcPr>
            <w:tcW w:type="pct" w:w="58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Задержка датчик → WebSocket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≤ 2 с при опросе 1 с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Пропускная способность приёма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≥ 100 значений/с без деградации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Глубина историка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≥ 30 суток при 35 тегах × 1 Гц (SQLite WAL)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Поведение при обрыве шлюз ↔ сервер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буфер store-and-forward, полная доставка без дублей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Поведение при обрыве станция ↔ шлюз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качество offline, разрывы на трендах, без фиктивных значений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Холодный старт демо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рабочий интерфейс ≤ 30 с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Ресурсы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≤ 200 МБ ОЗУ сервер, ≤ 50 МБ стенд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Сборка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go build / go vet / go test — чисто; фронтенд собирается без ошибок TypeScript</w:t>
            </w:r>
          </w:p>
        </w:tc>
      </w:tr>
    </w:tbl>
    <w:p>
      <w:pPr>
        <w:pStyle w:val="Heading1"/>
        <w:spacing w:after="160" w:before="400" w:line="312"/>
      </w:pPr>
      <w:bookmarkStart w:id="100018" w:name="_Toc100018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8. Безопасность</w:t>
      </w:r>
      <w:bookmarkEnd w:id="100018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Локальные учётные записи в базе (PBKDF2-SHA256), роли «Оператор» и «Администратор»; seed: operator/operator и admin/admin (пароли демонстрационные — сменить перед реальной эксплуатацией).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Серверные сессии в HttpOnly-cookie (SameSite=Lax, время жизни 12 ч); все API, кроме входа, требуют сессии; WebSocket — по cookie same-origin.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RBAC-матрица: оператору разрешены квитирование тревог, запись уставок контуров и запуск сценариев; администратору — всё, включая реестр и аудит.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Машинная аутентификация шлюзов — общий секрет GATEWAY_TOKEN (сравнение в постоянном времени); пользовательские сессии и ключи устройств разделены.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Аудит всех мутаций с субъектом из сессии; команды управления выполняются только с явным подтверждением (confirm: true).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Граница безопасности: супервизорный контур не подменяет средства противоаварийной защиты; при потере достоверных данных воздействие замораживается (IEC 61511).</w:t>
      </w:r>
    </w:p>
    <w:p>
      <w:pPr>
        <w:pStyle w:val="Heading1"/>
        <w:spacing w:after="160" w:before="400" w:line="312"/>
      </w:pPr>
      <w:bookmarkStart w:id="100019" w:name="_Toc100019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9. Среда эксплуатации</w:t>
      </w:r>
      <w:bookmarkEnd w:id="100019"/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9 — Требования к среде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70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ОС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Linux (поставляются unit-файлы systemd: cap-server, cap-gateway)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Исполнение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Статические бинарники Go, без внешних зависимостей времени выполнения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Порты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8000 — сервер (UI/API/WS); 1502 — Modbus TCP стенда; 15080 — HTTP стенда (только демонстрация)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Браузер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Актуальные Chrome/Firefox/Edge, same-origin, без расширений и CDN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SQLite (WAL) по умолчанию; PostgreSQL — для промышленной эксплуатации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Сеть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Локальный контур; внешние соединения не требуются (air-gap)</w:t>
            </w:r>
          </w:p>
        </w:tc>
      </w:tr>
    </w:tbl>
    <w:p>
      <w:pPr>
        <w:pStyle w:val="Heading1"/>
        <w:spacing w:after="160" w:before="400" w:line="312"/>
      </w:pPr>
      <w:bookmarkStart w:id="100020" w:name="_Toc100020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10. Комплектность поставки и документации</w:t>
      </w:r>
      <w:bookmarkEnd w:id="100020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Исходный код: backend/ (Go — сервер, шлюз, стенд), frontend/ (React-HMI), demo/ (скрипты демонстрации), deploy/ (unit-файлы systemd, install.sh).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Техническое задание (TZ_OBOGASHCHENIE.md) — полный контракт системы, включая карту регистров и критерии приёмки.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Настоящий технический паспорт; руководство оператора; презентационные материалы.</w:t>
      </w:r>
    </w:p>
    <w:p>
      <w:pPr>
        <w:pStyle w:val="Heading1"/>
        <w:spacing w:after="160" w:before="400" w:line="312"/>
      </w:pPr>
      <w:bookmarkStart w:id="100021" w:name="_Toc100021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11. Ограничения текущей версии</w:t>
      </w:r>
      <w:bookmarkEnd w:id="100021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Одиночный узел: отказоустойчивость и кластеризация не предусмотрены.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Аутентификация предприятия (OIDC/LDAP) не подключена — только локальные учётные записи.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Долгосрочное сжатие исторических данных (downsampling) отсутствует.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В демонстрационном контуре используется Modbus TCP; драйверы OPC UA и Sparkplug сохранены в коде шлюза.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Мобильная версия интерфейса не предусмотрена.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Профили руды влияют на уставки тревог и целевые показатели платформы; смена типа руды в модели стенда выполняется сценарием и с профилями не синхронизируется автоматически.</w:t>
      </w:r>
    </w:p>
    <w:p>
      <w:pPr>
        <w:pStyle w:val="Heading1"/>
        <w:spacing w:after="160" w:before="400" w:line="312"/>
      </w:pPr>
      <w:bookmarkStart w:id="100022" w:name="_Toc100022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12. Испытания и приёмка</w:t>
      </w:r>
      <w:bookmarkEnd w:id="100022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Автоматические проверки: юнит-тесты физики стенда (стационарный массовый баланс ±0,5 %; извлечение в номинале 88–92 %), Modbus-сервера (FC3/FC4/FC6 против реального клиента, исключения на прочие коды), металлургии (эталонные значения), ядра ПИД (шаг, ограничения, watchdog, безбамперный переход), интеграционные тесты API (идемпотентность приёма, аутентификация, RBAC, тревоги) и шлюза (буфер/доставка, FC6-мост). Сквозная демонстрация воспроизводится скриптом demo/run-demo.sh от начала до конца без ручных правок.</w:t>
      </w:r>
    </w:p>
    <w:p>
      <w:pPr>
        <w:pStyle w:val="Heading1"/>
        <w:spacing w:after="160" w:before="400" w:line="312"/>
      </w:pPr>
      <w:bookmarkStart w:id="100023" w:name="_Toc100023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Приложение А. Использованные стандарты и литература</w:t>
      </w:r>
      <w:bookmarkEnd w:id="100023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B.A. Wills, J.A. Finch. Wills' Mineral Processing Technology, 9th ed. — баланс (гл. 3), измельчение и Бонд (гл. 5), кинетика флотации (гл. 12).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ISA-5.1 — условные обозначения КИП; ISA-18.2 — управление тревогами; ISA-101 — проектирование HMI.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Modbus Application Protocol Specification V1.1b3 (MBAP, FC3/FC4/FC6).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IEC 61508/61511 — принципы безопасности супервизорного контура (watchdog, удержание воздействия при потере связи).</w:t>
      </w:r>
    </w:p>
    <w:sectPr>
      <w:headerReference w:type="default" r:id="rId8"/>
      <w:footerReference w:type="default" r:id="rId9"/>
      <w:type w:val="nextPage"/>
      <w:pgSz w:w="11906" w:h="16838" w:orient="portrait"/>
      <w:pgMar w:top="1134" w:right="850" w:bottom="1134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8888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6" w:sz="2" w:space="4"/>
      </w:pBdr>
      <w:jc w:val="right"/>
    </w:pPr>
    <w:r>
      <w:rPr>
        <w:rFonts w:ascii="Times New Roman" w:hAnsi="Times New Roman"/>
        <w:color w:val="999999"/>
        <w:sz w:val="16"/>
        <w:szCs w:val="16"/>
      </w:rPr>
      <w:t xml:space="preserve">CAP · Технический паспорт · MVP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1A2332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12"/>
      <w:outlineLvl w:val="0"/>
    </w:pPr>
    <w:rPr>
      <w:rFonts w:ascii="Times New Roman" w:hAnsi="Times New Roman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Times New Roman" w:hAnsi="Times New Roman"/>
      <w:b/>
      <w:bCs/>
      <w:color w:val="0F172A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2026-09-11T08:32:56.563Z</dcterms:created>
  <dcterms:modified xsi:type="dcterms:W3CDTF">2026-09-11T08:32:56.564Z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