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B2D" w:val="clear"/>
          </w:tcPr>
          <w:p>
            <w:pPr>
              <w:spacing w:before="4092"/>
            </w:pPr>
          </w:p>
          <w:p>
            <w:pPr>
              <w:pBdr>
                <w:bottom w:val="single" w:color="38BDF8" w:sz="6" w:space="8"/>
              </w:pBdr>
              <w:spacing w:after="500"/>
              <w:ind w:left="1200" w:right="800"/>
            </w:pPr>
            <w:r>
              <w:rPr>
                <w:rFonts w:ascii="Times New Roman" w:hAnsi="Times New Roman"/>
                <w:color w:val="38BDF8"/>
                <w:spacing w:val="40"/>
                <w:sz w:val="18"/>
                <w:szCs w:val="18"/>
              </w:rPr>
              <w:t xml:space="preserve">C  O  M  P  L  E  X     A  U  T  O  M  A  T  I  O  N     P  R  O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Times New Roman" w:hAnsi="Times New Roman"/>
                <w:b/>
                <w:bCs/>
                <w:color w:val="FFFFFF"/>
                <w:sz w:val="80"/>
                <w:szCs w:val="80"/>
              </w:rPr>
              <w:t xml:space="preserve">РУКОВОДСТВО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Times New Roman" w:hAnsi="Times New Roman"/>
                <w:b/>
                <w:bCs/>
                <w:color w:val="FFFFFF"/>
                <w:sz w:val="80"/>
                <w:szCs w:val="80"/>
              </w:rPr>
              <w:t xml:space="preserve">ОПЕРАТОРА НОВОЕ</w:t>
            </w:r>
          </w:p>
          <w:p>
            <w:pPr>
              <w:spacing w:after="800" w:line="312"/>
              <w:ind w:left="1200" w:right="800"/>
            </w:pPr>
            <w:r>
              <w:rPr>
                <w:rFonts w:ascii="Times New Roman" w:hAnsi="Times New Roman"/>
                <w:color w:val="B8C4D4"/>
                <w:sz w:val="24"/>
                <w:szCs w:val="24"/>
              </w:rPr>
              <w:t xml:space="preserve">CAP — Новая версия АСУ ТП участка флотационного обогащения руды: мнемосхема, тренды, металлургический баланс, управление контурами, тревоги</w:t>
            </w:r>
          </w:p>
          <w:p>
            <w:pPr>
              <w:pBdr>
                <w:left w:val="single" w:color="38BDF8" w:sz="8" w:space="12"/>
              </w:pBdr>
              <w:spacing w:after="80"/>
              <w:ind w:left="1400"/>
            </w:pPr>
            <w:r>
              <w:rPr>
                <w:rFonts w:ascii="Times New Roman" w:hAnsi="Times New Roman"/>
                <w:color w:val="D5DEEA"/>
                <w:sz w:val="24"/>
                <w:szCs w:val="24"/>
              </w:rPr>
              <w:t xml:space="preserve">Версия: MVP 2.0 — сентябрь 2026 г.</w:t>
            </w:r>
          </w:p>
          <w:p>
            <w:pPr>
              <w:pBdr>
                <w:left w:val="single" w:color="38BDF8" w:sz="8" w:space="12"/>
              </w:pBdr>
              <w:spacing w:after="80"/>
              <w:ind w:left="1400"/>
            </w:pPr>
            <w:r>
              <w:rPr>
                <w:rFonts w:ascii="Times New Roman" w:hAnsi="Times New Roman"/>
                <w:color w:val="D5DEEA"/>
                <w:sz w:val="24"/>
                <w:szCs w:val="24"/>
              </w:rPr>
              <w:t xml:space="preserve">Интерфейс: веб, русский язык</w:t>
            </w:r>
          </w:p>
          <w:p>
            <w:pPr>
              <w:pBdr>
                <w:left w:val="single" w:color="38BDF8" w:sz="8" w:space="12"/>
              </w:pBdr>
              <w:spacing w:after="80"/>
              <w:ind w:left="1400"/>
            </w:pPr>
            <w:r>
              <w:rPr>
                <w:rFonts w:ascii="Times New Roman" w:hAnsi="Times New Roman"/>
                <w:color w:val="D5DEEA"/>
                <w:sz w:val="24"/>
                <w:szCs w:val="24"/>
              </w:rPr>
              <w:t xml:space="preserve">Адрес: http://&lt;сервер&gt;:8000</w:t>
            </w:r>
          </w:p>
          <w:p>
            <w:pPr>
              <w:pBdr>
                <w:left w:val="single" w:color="38BDF8" w:sz="8" w:space="12"/>
              </w:pBdr>
              <w:spacing w:after="80"/>
              <w:ind w:left="1400"/>
            </w:pPr>
            <w:r>
              <w:rPr>
                <w:rFonts w:ascii="Times New Roman" w:hAnsi="Times New Roman"/>
                <w:color w:val="D5DEEA"/>
                <w:sz w:val="24"/>
                <w:szCs w:val="24"/>
              </w:rPr>
              <w:t xml:space="preserve">Учётные записи: operator / admin</w:t>
            </w:r>
          </w:p>
          <w:p>
            <w:pPr>
              <w:spacing w:before="4092"/>
            </w:pPr>
          </w:p>
          <w:p>
            <w:pPr>
              <w:pBdr>
                <w:top w:val="single" w:color="38BDF8" w:sz="2" w:space="8"/>
              </w:pBdr>
              <w:spacing w:before="200"/>
              <w:ind w:left="1200" w:right="800"/>
            </w:pPr>
            <w:r>
              <w:rPr>
                <w:rFonts w:ascii="Times New Roman" w:hAnsi="Times New Roman"/>
                <w:color w:val="7C8DA6"/>
                <w:sz w:val="16"/>
                <w:szCs w:val="16"/>
              </w:rPr>
              <w:t xml:space="preserve">CAP · Complex Automation Pro</w:t>
            </w:r>
            <w:r>
              <w:t xml:space="preserve">                                        </w:t>
            </w:r>
            <w:r>
              <w:rPr>
                <w:rFonts w:ascii="Times New Roman" w:hAnsi="Times New Roman"/>
                <w:color w:val="7C8DA6"/>
                <w:sz w:val="16"/>
                <w:szCs w:val="16"/>
              </w:rPr>
              <w:t xml:space="preserve">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СОДЕРЖАНИЕ</w:t>
      </w:r>
    </w:p>
    <w:sdt>
      <w:sdtPr>
        <w:alias w:val="Оглавле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hAnsi="Times New Roman"/>
          <w:i/>
          <w:iCs/>
          <w:color w:val="888888"/>
          <w:sz w:val="18"/>
          <w:szCs w:val="18"/>
        </w:rPr>
        <w:t xml:space="preserve">Примечание: оглавление построено на кодах полей. После редактирования документа щёлкните по оглавлению правой кнопкой мыши и выберите «Обновить поле», чтобы обновить номера страниц.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134" w:right="850" w:bottom="1134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1. Назначение и круг пользователей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Руководство описывает работу оператора и технолога с веб-интерфейсом CAP — системы оперативного диспетчерского контроля и управления участком флотационного обогащения руды. Система собирает телеметрию по Modbus TCP (основной протокол), с поддержкой OPC UA и Sparkplug в шлюзе (не используются в демо), ведёт историк, рассчитывает металлургические показатели, управляет тремя супервизорными контурами и обрабатывает тревоги по ISA-18.2.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Оператор (operator) — наблюдение за процессом, квитирование тревог, управление контурами и запуск демонстрационных сценариев.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Администратор (admin) — дополнительно: реестр КПА, запросы телеметрии, доступ и аудит, сценарии стенда.</w:t>
      </w: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2. Запуск системы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Демонстрационный запуск выполняется одной командой — она собирает три компонента, создаёт свежую базу и открывает стенд:</w:t>
      </w:r>
    </w:p>
    <w:p>
      <w:pPr>
        <w:shd w:fill="F4F7FA" w:val="clear"/>
        <w:spacing w:after="120" w:before="60" w:line="276"/>
        <w:ind w:left="400"/>
      </w:pPr>
      <w:r>
        <w:rPr>
          <w:rFonts w:ascii="Courier New" w:hAnsi="Courier New"/>
          <w:color w:val="1A2332"/>
          <w:sz w:val="16"/>
          <w:szCs w:val="16"/>
        </w:rPr>
        <w:t xml:space="preserve">cd backend &amp;&amp; ./run.sh        # стенд + сервер + шлюз</w:t>
      </w:r>
    </w:p>
    <w:p>
      <w:pPr>
        <w:shd w:fill="F4F7FA" w:val="clear"/>
        <w:spacing w:after="120" w:before="60" w:line="276"/>
        <w:ind w:left="400"/>
      </w:pPr>
      <w:r>
        <w:rPr>
          <w:rFonts w:ascii="Courier New" w:hAnsi="Courier New"/>
          <w:color w:val="1A2332"/>
          <w:sz w:val="16"/>
          <w:szCs w:val="16"/>
        </w:rPr>
        <w:t xml:space="preserve">demo/run-demo.sh              # scripted-демо: 7 сценариев, ~15 мин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После запуска интерфейс доступен на http://127.0.0.1:8000. Порты: 8000 — сервер (UI, API, WebSocket), 1502 — Modbus TCP стенда (основной), 15080 — HTTP стенда (для сценариев); OPC UA порт зарезервирован в шлюзе, но не используется в демонстрации. Остановка: kill $(cat backend/.run/{capd,edge,plantsim}.pid) или повторный запуск run.sh.</w:t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1 — Процессы системы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Процесс</w:t>
            </w:r>
          </w:p>
        </w:tc>
        <w:tc>
          <w:tcPr>
            <w:tcW w:type="pct" w:w="60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Роль</w:t>
            </w:r>
          </w:p>
        </w:tc>
        <w:tc>
          <w:tcPr>
            <w:tcW w:type="pct" w:w="2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Порты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capd</w:t>
            </w:r>
          </w:p>
        </w:tc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Сервер: UI, REST API, WebSocket, историк, тревоги, контуры, расчёты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8000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edge</w:t>
            </w:r>
          </w:p>
        </w:tc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Шлюз: опрос Modbus 1 Гц, буфер при обрыве, запись FC6; поддерживает OPC UA и Sparkplug (не используются в демо)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plantsim</w:t>
            </w:r>
          </w:p>
        </w:tc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Демонстрационный стенд процесса (в эксплуатации отсутствует)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1502, 15080</w:t>
            </w:r>
          </w:p>
        </w:tc>
      </w:tr>
    </w:tbl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3. Вход в систему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Откройте адрес сервера. На странице входа введите имя пользователя и пароль. Демонстрационные учётные записи: operator/operator и admin/admin. Пароли seed-пользователей предназначены только для стенда — перед реальной эксплуатацией их необходимо сменить.</w:t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Рисунок 1 — Страница входа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Сессия действует 12 часов; повторный вход выполняется автоматически при открытии системы после перерыва. Выход — кнопка «Выйти» в нижней части боковой панели.</w:t>
      </w: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4. Навигация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Все разделы доступны из боковой панели: мнемосхема (главная), тренды, металлургия, управление, тревоги, профили руды, администрирование. В правом верхнем углу отображается состояние связи с процессом («Оперативная связь» или «Нет связи») и переключатель тёмной темы. Тема сохраняется на все страницы.</w:t>
      </w: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5. Мнемосхема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Главная страница — вертикальная технологическая схема участка: дробление → измельчение (с гидроциклоном и циркуляцией песков) → флотация → сгущение → фильтрация → отгрузка, ветка хвостов. На каждом узле показаны живые значения ключевых параметров; они обновляются в реальном времени через WebSocket.</w:t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Рисунок 2 — Мнемосхема (светлая тема)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Цвет узла отражает состояние: норма, тревога или нет связи. Щелчок по метрике открывает её в трендах; щелчок по узлу — паспорт объекта (см. раздел 6). Для работы в диспетчерской предусмотрена тёмная тема — переключатель в боковой панели.</w:t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Рисунок 3 — Мнемосхема (тёмная тема, стиль ISA-101)</w:t>
      </w: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6. Паспорт объекта (faceplate)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Щелчок по узлу мнемосхемы открывает паспорт: таблицу всех параметров объекта с качеством каждого значения (good/offline) и панелями контуров управления, закреплённых за узлом. Для контура отображаются PV, уставка SP, выход MV и полоса положения; отсюда же выполняется управление (раздел 9). Кнопка «✕» закрывает паспорт.</w:t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Рисунок 4 — Паспорт объекта «Флотация»</w:t>
      </w: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7. Тренды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Страница «Тренды» показывает графики выбранных перьев. Порядок работы: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В списке «Перья» включены текущие теги; ненужное перо снимается кнопкой «✕».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Чтобы добавить тег, найдите его в поиске справа и щёлкните по строке — тег встанет в перья со своим цветом.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Выберите диапазон: 15 минут, 1 час, 8 часов или 24 часа.</w:t>
      </w:r>
    </w:p>
    <w:p>
      <w:pPr>
        <w:pStyle w:val="ListParagraph"/>
        <w:numPr>
          <w:ilvl w:val="0"/>
          <w:numId w:val="2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При необходимости включите нормировку — каждое перо строится к своей шкале 0–100 % диапазона тега.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Разрыв линии означает отсутствие достоверных данных (качество offline) — фиктивных значений на графиках не бывает. Наведение курсора показывает числовые значения в точке. Расчётные показатели (извлечение, невязка, Бонд и др.) доступны как обычные перья.</w:t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Рисунок 5 — Тренды с таблицей перьев</w:t>
      </w: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8. Металлургический баланс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Страница «Металлургия» — технологическая сводка участка. Вверху — баланс по трём потокам (питание, концентрат, хвосты): масса, содержание Cu, металл. Ниже — карточки показателей с формулами и тегами-источниками: извлечение, выход, коэффициент обогащения, невязка баланса, сходимость извлечений, энергия Бонда, КПД мельницы, циркулирующая нагрузка, удельные расходы. Эти показатели представляют макромайн‑анализ (агрегированные характеристики процесса) и основаны на данных‑майнинге (data‑main) – обработке больших объёмов телеметрии для выявления закономерностей и оптимизации параметров обогащения.</w:t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Рисунок 6 — Металлургический баланс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Индикатор «баланс сходится» подтверждает достоверность данных. Если невязка или расхождение извлечений выходят за норму, сводка переходит в статус предупреждения с пояснением «данные несогласованы: проверь XRF/весы» — это признак дрейфа анализатора или отказа весов, а не ошибки расчёта.</w:t>
      </w: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9. Управление контурами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Страница «Управление» содержит три панели супервизорных ПИД-контуров: уровень пульпы флотомашины (lic301), удельный расход собирателя (fic301), плотность сгущённого продукта (dic401). Те же панели доступны в паспорте объекта. Реализация ПИД-алгоритмов возможна на сервере capd, внешних ПЛК или ESP32 через Modbus FC6; локальные контуры на ESP32 обеспечивают быструю обратную связь.</w:t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Рисунок 7 — Контуры управления (режим РУЧН)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Перевод контура в автомат и изменение уставки: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Введите новое значение уставки в поле SP (допустимый диапазон показан в подсказке поля).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Нажмите «Изменить SP» и подтвердите действие — запись фиксируется в журнале аудита.</w:t>
      </w:r>
    </w:p>
    <w:p>
      <w:pPr>
        <w:pStyle w:val="ListParagraph"/>
        <w:numPr>
          <w:ilvl w:val="0"/>
          <w:numId w:val="3"/>
        </w:numPr>
        <w:spacing w:after="60" w:line="312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Для ручного управления нажмите «РУЧН» (подтвердите), введите значение выхода и нажмите «Записать MV в станцию».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Важно: запись в станцию выполняется шлюзом методом FC6 только в режиме АВТО; в ручном режиме воздействие держится на введённом значении. При потере достоверного PV более чем на 10 секунд контур автоматически уходит в РУЧН, выход замораживается и формируется тревога control_fault — безопасное состояние по IEC 61511. Не оставляйте контуры в ручном режиме без присмотра.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Актуаторы вне контуров (задание питателя, клапан воды мельницы, насос вспенивателя, время цикла фильтра) управляются с паспортов соответствующих узлов — разовой записью с подтверждением.</w:t>
      </w: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10. Тревоги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Страница «Тревоги» состоит из двух частей: активные тревоги и журнал событий. Активные сортируются по приоритету и времени; каждую можно квитировать по отдельности или отметить несколько и квитировать разом. Квитирование фиксирует имя оператора из сессии. Не квитированная критическая тревога показывает несамозакрывающийся баннер на всех страницах.</w:t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Рисунок 8 — Активные тревоги и журнал событий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Журнал неизменяем: события «сработала/сброшена/квитирована» с меткой времени, тегом, сообщением и оператором. Фильтр «мин. приоритет» оставляет только критические, высокие или средние. Тревога comm_loss по активу означает отсутствие достоверных данных более 10 секунд — проверьте линию связи и контроллер.</w:t>
      </w: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11. Профили руды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Профили задают целевые коридоры KPI и уставки тревог под тип перерабатываемой руды. Жизненный цикл: черновик → согласование → активация. Активный профиль один; его целевые значения отображаются в карточках металлургии. Раздел доступен оператору для просмотра, согласование — по роли.</w:t>
      </w: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12. Администрирование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Раздел «Администрирование» (роль администратора) содержит четыре вкладки: реестр КПА (активы и все 43 тега с единицами, шкалами и направлением вход/выход), запрос телеметрии (исторические данные за период, выгрузка CSV), доступ и аудит (пользователи, роли, журнал мутаций), сценарии стенда (демонстрационные возмущения).</w:t>
      </w:r>
    </w:p>
    <w:p>
      <w:pPr>
        <w:spacing w:after="160" w:before="60"/>
        <w:jc w:val="center"/>
      </w:pPr>
      <w:r>
        <w:drawing>
          <wp:inline distT="0" distB="0" distL="0" distR="0">
            <wp:extent cx="59055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Рисунок 9 — Администрирование: реестр КПА</w:t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2 — Сценарии стенда (для демонстрации)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Код</w:t>
            </w:r>
          </w:p>
        </w:tc>
        <w:tc>
          <w:tcPr>
            <w:tcW w:type="pct" w:w="34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Сценарий</w:t>
            </w:r>
          </w:p>
        </w:tc>
        <w:tc>
          <w:tcPr>
            <w:tcW w:type="pct" w:w="58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Эффект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0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Норма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Сброс активных возмущений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1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Шаг крепости руды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Грубее помол, ниже извлечение, рост потерь с хвостами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2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Дрейф датчика XRF питания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Накоплюющееся смещение α → предупреждение по невязке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3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Заморозка датчика P80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«Залипшее» значение крупности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4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Обрыв связи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Стенд перестаёт отвечать; offline и разрывы трендов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5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Закисление пульпы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Провал pH с самовосстановлением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6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Отказ насоса сгустителя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Рост постели и момента → тревоги li401/ei401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7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Пополнение бункера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Рост уровня рудного бункера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8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Смена типа руды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Сульфидная / смешанная / окисленная — меняется кинетика</w:t>
            </w:r>
          </w:p>
        </w:tc>
      </w:tr>
    </w:tbl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13. Демонстрация (скриптованный сценарий)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Скрипт demo/run-demo.sh проводит полный показ возможностей примерно за 15 минут: нормальный режим и сходящийся баланс → перевод lic301 в АВТО с шагом уставки 500→550 мм → возмущение по крепости руды (сценарий 1) и восстановление извлечения инженерными действиями → обрыв связи и восстановление → отказ насоса сгустителя (сценарий 6) с ручным вмешательством → дрейф XRF и детектор несогласованности → выгрузка CSV-отчётов. Во время демонстрации показывайте мнемосхему и тренды — причинно-следственная связь «крупность → извлечение» видна в числах.</w:t>
      </w:r>
    </w:p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14. Поведение при отказах</w:t>
      </w:r>
    </w:p>
    <w:p>
      <w:pPr>
        <w:keepNext/>
        <w:spacing w:after="80" w:before="160" w:line="312"/>
      </w:pPr>
      <w:r>
        <w:rPr>
          <w:rFonts w:ascii="Times New Roman" w:hAnsi="Times New Roman"/>
          <w:b/>
          <w:bCs/>
          <w:color w:val="506070"/>
          <w:sz w:val="21"/>
          <w:szCs w:val="21"/>
        </w:rPr>
        <w:t xml:space="preserve">Таблица 3 — Типовые ситуации и действия</w:t>
      </w:r>
    </w:p>
    <w:tbl>
      <w:tblPr>
        <w:tblW w:type="pct" w:w="100%"/>
        <w:tblBorders>
          <w:top w:val="single" w:color="9AA6B2" w:sz="4"/>
          <w:left w:val="none" w:color="FFFFFF" w:sz="0"/>
          <w:bottom w:val="single" w:color="9AA6B2" w:sz="4"/>
          <w:right w:val="none" w:color="FFFFFF" w:sz="0"/>
          <w:insideH w:val="single" w:color="D8DEE6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Ситуация</w:t>
            </w:r>
          </w:p>
        </w:tc>
        <w:tc>
          <w:tcPr>
            <w:tcW w:type="pct" w:w="32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Что видит оператор</w:t>
            </w:r>
          </w:p>
        </w:tc>
        <w:tc>
          <w:tcPr>
            <w:tcW w:type="pct" w:w="44%"/>
            <w:shd w:fill="E8EEF5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/>
                <w:bCs/>
                <w:color w:val="0F172A"/>
                <w:sz w:val="20"/>
                <w:szCs w:val="20"/>
              </w:rPr>
              <w:t xml:space="preserve">Что происходит / что делать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Обрыв связи с контроллером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«Нет связи» на мнемосхеме, разрывы линий на трендах, тревога comm_loss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Значения не подменяются фиктивными. Проверить линию/контроллер; после восстановления данные продолжатся с места разрыва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Обрыв сервера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Шлюз недоступен со стороны UI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Шлюз буферизует телеметрию локально и досылает её без дублей после восстановления; актуаторы удерживают последние значения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Потеря достоверного PV контура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Тревога control_fault, контур в РУЧН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Выход заморожен (IEC 61511). Устранить причину, затем вернуть контур в АВТО — переход без скачка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Невязка баланса в предупреждении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Статус «данные несогласованы»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Вероятен дрейф XRF или весов. Сверить показания, при необходимости заменить источник данных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Переполнение сгустителя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Тревоги li401/ei401 (hi → hi_hi)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rFonts w:ascii="Times New Roman" w:hAnsi="Times New Roman"/>
                <w:b w:val="false"/>
                <w:bCs w:val="false"/>
                <w:color w:val="1A2332"/>
                <w:sz w:val="20"/>
                <w:szCs w:val="20"/>
              </w:rPr>
              <w:t xml:space="preserve">Взять dic401 в РУЧН, поднять насос разгрузки; проконтролировать снижение момента</w:t>
            </w:r>
          </w:p>
        </w:tc>
      </w:tr>
    </w:tbl>
    <w:p>
      <w:pPr>
        <w:pStyle w:val="Heading1"/>
        <w:spacing w:after="160" w:before="400" w:line="312"/>
      </w:pPr>
      <w:r>
        <w:rPr>
          <w:rFonts w:ascii="Times New Roman" w:hAnsi="Times New Roman"/>
          <w:b/>
          <w:bCs/>
          <w:color w:val="0F172A"/>
          <w:sz w:val="32"/>
          <w:szCs w:val="32"/>
        </w:rPr>
        <w:t xml:space="preserve">15. Остановка системы</w:t>
      </w:r>
    </w:p>
    <w:p>
      <w:pPr>
        <w:spacing w:after="100" w:line="312"/>
        <w:ind w:firstLine="709"/>
        <w:jc w:val="both"/>
      </w:pPr>
      <w:r>
        <w:rPr>
          <w:rFonts w:ascii="Times New Roman" w:hAnsi="Times New Roman"/>
          <w:color w:val="1A2332"/>
          <w:sz w:val="24"/>
          <w:szCs w:val="24"/>
        </w:rPr>
        <w:t xml:space="preserve">Для остановки выполните kill $(cat backend/.run/{capd,edge,plantsim}.pid). Базы данных (cap.db, буфер шлюза) сохраняются между запусками; run.sh удаляет их для чистого демо. Для промышленной установки используйте unit-файлы systemd из каталога deploy/.</w:t>
      </w:r>
    </w:p>
    <w:sectPr>
      <w:headerReference w:type="default" r:id="rId8"/>
      <w:footerReference w:type="default" r:id="rId9"/>
      <w:type w:val="nextPage"/>
      <w:pgSz w:w="11906" w:h="16838" w:orient="portrait"/>
      <w:pgMar w:top="1134" w:right="850" w:bottom="1134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hAnsi="Times New Roman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hAnsi="Times New Roman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EE6" w:sz="2" w:space="4"/>
      </w:pBdr>
      <w:jc w:val="right"/>
    </w:pPr>
    <w:r>
      <w:rPr>
        <w:rFonts w:ascii="Times New Roman" w:hAnsi="Times New Roman"/>
        <w:color w:val="999999"/>
        <w:sz w:val="16"/>
        <w:szCs w:val="16"/>
      </w:rPr>
      <w:t xml:space="preserve">CAP · Руководство оператора · MVP 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/>
        <w:color w:val="1A2332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400" w:line="312"/>
      <w:outlineLvl w:val="0"/>
    </w:pPr>
    <w:rPr>
      <w:rFonts w:ascii="Times New Roman" w:hAnsi="Times New Roman"/>
      <w:b/>
      <w:bCs/>
      <w:color w:val="0F17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 w:line="312"/>
      <w:outlineLvl w:val="1"/>
    </w:pPr>
    <w:rPr>
      <w:rFonts w:ascii="Times New Roman" w:hAnsi="Times New Roman"/>
      <w:b/>
      <w:bCs/>
      <w:color w:val="0F172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65260b4f0a4a641acc9b705ff6b26f0df243ac24.png"/><Relationship Id="rId11" Type="http://schemas.openxmlformats.org/officeDocument/2006/relationships/image" Target="media/4b50bd7e2f75bd8e19fd7e35a019f71b4238e4c9.png"/><Relationship Id="rId12" Type="http://schemas.openxmlformats.org/officeDocument/2006/relationships/image" Target="media/2b7bd1b53648ce791bb37cfdf6285f9c1980a4fd.png"/><Relationship Id="rId13" Type="http://schemas.openxmlformats.org/officeDocument/2006/relationships/image" Target="media/d6d3cd033ef50ad0547aba39b7c3fdf26d7b2068.png"/><Relationship Id="rId14" Type="http://schemas.openxmlformats.org/officeDocument/2006/relationships/image" Target="media/64cdde0b9fc77b290d809e2fb914e066b11f8991.png"/><Relationship Id="rId15" Type="http://schemas.openxmlformats.org/officeDocument/2006/relationships/image" Target="media/ee64ce2a49ced4a87d187bbe2674cb8b5825993a.png"/><Relationship Id="rId16" Type="http://schemas.openxmlformats.org/officeDocument/2006/relationships/image" Target="media/4f544c0e7d36f22eecb90df6420255c4145fabe3.png"/><Relationship Id="rId17" Type="http://schemas.openxmlformats.org/officeDocument/2006/relationships/image" Target="media/e29e2a9af7bfbeb197789c1231b24bdb1f158221.png"/><Relationship Id="rId18" Type="http://schemas.openxmlformats.org/officeDocument/2006/relationships/image" Target="media/7a7ddeb23feae028d71864899c95a158e3c43f6c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2026-09-11T10:09:56.036Z</dcterms:created>
  <dcterms:modified xsi:type="dcterms:W3CDTF">2026-09-11T10:09:56.038Z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