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header+xml" PartName="/word/head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"/>
      </w:tblGrid>
      <w:tr>
        <w:trPr>
          <w:trHeight w:val="16838" w:hRule="exact"/>
        </w:trP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F1B2D" w:val="clear"/>
          </w:tcPr>
          <w:p>
            <w:pPr>
              <w:spacing w:before="4092"/>
            </w:pPr>
          </w:p>
          <w:p>
            <w:pPr>
              <w:pBdr>
                <w:bottom w:val="single" w:color="38BDF8" w:sz="6" w:space="8"/>
              </w:pBdr>
              <w:spacing w:after="500"/>
              <w:ind w:left="1200" w:right="800"/>
            </w:pPr>
            <w:r>
              <w:rPr>
                <w:rFonts w:ascii="Times New Roman" w:hAnsi="Times New Roman"/>
                <w:color w:val="38BDF8"/>
                <w:spacing w:val="40"/>
                <w:sz w:val="18"/>
                <w:szCs w:val="18"/>
              </w:rPr>
              <w:t xml:space="preserve">C  O  M  P  L  E  X     A  U  T  O  M  A  T  I  O  N     P  R  O</w:t>
            </w:r>
          </w:p>
          <w:p>
            <w:pPr>
              <w:spacing w:after="100" w:line="920" w:lineRule="atLeast"/>
              <w:ind w:left="1200"/>
            </w:pPr>
            <w:r>
              <w:rPr>
                <w:rFonts w:ascii="Times New Roman" w:hAnsi="Times New Roman"/>
                <w:b/>
                <w:bCs/>
                <w:color w:val="FFFFFF"/>
                <w:sz w:val="80"/>
                <w:szCs w:val="80"/>
              </w:rPr>
              <w:t xml:space="preserve">ТЕХНИЧЕСКИЙ ПАСПОРТ</w:t>
            </w:r>
          </w:p>
          <w:p>
            <w:pPr>
              <w:spacing w:after="300" w:line="920" w:lineRule="atLeast"/>
              <w:ind w:left="1200"/>
            </w:pPr>
            <w:r>
              <w:rPr>
                <w:rFonts w:ascii="Times New Roman" w:hAnsi="Times New Roman"/>
                <w:b/>
                <w:bCs/>
                <w:color w:val="FFFFFF"/>
                <w:sz w:val="80"/>
                <w:szCs w:val="80"/>
              </w:rPr>
              <w:t xml:space="preserve">НОВЫЙ</w:t>
            </w:r>
          </w:p>
          <w:p>
            <w:pPr>
              <w:spacing w:after="800" w:line="312"/>
              <w:ind w:left="1200" w:right="800"/>
            </w:pPr>
            <w:r>
              <w:rPr>
                <w:rFonts w:ascii="Times New Roman" w:hAnsi="Times New Roman"/>
                <w:color w:val="B8C4D4"/>
                <w:sz w:val="24"/>
                <w:szCs w:val="24"/>
              </w:rPr>
              <w:t xml:space="preserve">CAP — Новая версия системы оперативного диспетчерского контроля и управления участком флотационного обогащения руды</w:t>
            </w:r>
          </w:p>
          <w:p>
            <w:pPr>
              <w:pBdr>
                <w:left w:val="single" w:color="38BDF8" w:sz="8" w:space="12"/>
              </w:pBdr>
              <w:spacing w:after="80"/>
              <w:ind w:left="1400"/>
            </w:pPr>
            <w:r>
              <w:rPr>
                <w:rFonts w:ascii="Times New Roman" w:hAnsi="Times New Roman"/>
                <w:color w:val="D5DEEA"/>
                <w:sz w:val="24"/>
                <w:szCs w:val="24"/>
              </w:rPr>
              <w:t xml:space="preserve">Класс системы: SCADA — HMI/историк с супервизорным контуром управления</w:t>
            </w:r>
          </w:p>
          <w:p>
            <w:pPr>
              <w:pBdr>
                <w:left w:val="single" w:color="38BDF8" w:sz="8" w:space="12"/>
              </w:pBdr>
              <w:spacing w:after="80"/>
              <w:ind w:left="1400"/>
            </w:pPr>
            <w:r>
              <w:rPr>
                <w:rFonts w:ascii="Times New Roman" w:hAnsi="Times New Roman"/>
                <w:color w:val="D5DEEA"/>
                <w:sz w:val="24"/>
                <w:szCs w:val="24"/>
              </w:rPr>
              <w:t xml:space="preserve">Исполнение: модульный монолит capd + шлюз edge + стенд plantsim</w:t>
            </w:r>
          </w:p>
          <w:p>
            <w:pPr>
              <w:pBdr>
                <w:left w:val="single" w:color="38BDF8" w:sz="8" w:space="12"/>
              </w:pBdr>
              <w:spacing w:after="80"/>
              <w:ind w:left="1400"/>
            </w:pPr>
            <w:r>
              <w:rPr>
                <w:rFonts w:ascii="Times New Roman" w:hAnsi="Times New Roman"/>
                <w:color w:val="D5DEEA"/>
                <w:sz w:val="24"/>
                <w:szCs w:val="24"/>
              </w:rPr>
              <w:t xml:space="preserve">Версия: MVP 2.0 — сентябрь 2026 г.</w:t>
            </w:r>
          </w:p>
          <w:p>
            <w:pPr>
              <w:pBdr>
                <w:left w:val="single" w:color="38BDF8" w:sz="8" w:space="12"/>
              </w:pBdr>
              <w:spacing w:after="80"/>
              <w:ind w:left="1400"/>
            </w:pPr>
            <w:r>
              <w:rPr>
                <w:rFonts w:ascii="Times New Roman" w:hAnsi="Times New Roman"/>
                <w:color w:val="D5DEEA"/>
                <w:sz w:val="24"/>
                <w:szCs w:val="24"/>
              </w:rPr>
              <w:t xml:space="preserve">Статус: обновленная версия (одиночный узел)</w:t>
            </w:r>
          </w:p>
          <w:p>
            <w:pPr>
              <w:spacing w:before="4092"/>
            </w:pPr>
          </w:p>
          <w:p>
            <w:pPr>
              <w:pBdr>
                <w:top w:val="single" w:color="38BDF8" w:sz="2" w:space="8"/>
              </w:pBdr>
              <w:spacing w:before="200"/>
              <w:ind w:left="1200" w:right="800"/>
            </w:pPr>
            <w:r>
              <w:rPr>
                <w:rFonts w:ascii="Times New Roman" w:hAnsi="Times New Roman"/>
                <w:color w:val="7C8DA6"/>
                <w:sz w:val="16"/>
                <w:szCs w:val="16"/>
              </w:rPr>
              <w:t xml:space="preserve">CAP · Complex Automation Pro</w:t>
            </w:r>
            <w:r>
              <w:t xml:space="preserve">                                        </w:t>
            </w:r>
            <w:r>
              <w:rPr>
                <w:rFonts w:ascii="Times New Roman" w:hAnsi="Times New Roman"/>
                <w:color w:val="7C8DA6"/>
                <w:sz w:val="16"/>
                <w:szCs w:val="16"/>
              </w:rPr>
              <w:t xml:space="preserve">2026</w:t>
            </w:r>
          </w:p>
        </w:tc>
      </w:tr>
    </w:tbl>
    <w:p>
      <w:pPr>
        <w:sectPr>
          <w:pgSz w:w="11906" w:h="16838" w:orient="portrait"/>
          <w:pgMar w:top="0" w:right="0" w:bottom="0" w:left="0" w:header="708" w:footer="708" w:gutter="0"/>
          <w:pgNumType/>
          <w:docGrid w:linePitch="360"/>
        </w:sectPr>
      </w:pPr>
    </w:p>
    <w:p>
      <w:pPr>
        <w:spacing w:after="360" w:before="480"/>
        <w:jc w:val="center"/>
      </w:pPr>
      <w:r>
        <w:rPr>
          <w:rFonts w:ascii="Times New Roman" w:hAnsi="Times New Roman"/>
          <w:b/>
          <w:bCs/>
          <w:color w:val="0F172A"/>
          <w:sz w:val="32"/>
          <w:szCs w:val="32"/>
        </w:rPr>
        <w:t xml:space="preserve">СОДЕРЖАНИЕ</w:t>
      </w:r>
    </w:p>
    <w:sdt>
      <w:sdtPr>
        <w:alias w:val="Оглавление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pPr>
        <w:spacing w:before="200"/>
      </w:pPr>
      <w:r>
        <w:rPr>
          <w:rFonts w:ascii="Times New Roman" w:hAnsi="Times New Roman"/>
          <w:i/>
          <w:iCs/>
          <w:color w:val="888888"/>
          <w:sz w:val="18"/>
          <w:szCs w:val="18"/>
        </w:rPr>
        <w:t xml:space="preserve">Примечание: оглавление построено на кодах полей. После редактирования документа щёлкните по оглавлению правой кнопкой мыши и выберите «Обновить поле», чтобы обновить номера страниц.</w:t>
      </w:r>
    </w:p>
    <w:p>
      <w:r>
        <w:br w:type="page"/>
      </w:r>
    </w:p>
    <w:p>
      <w:pPr>
        <w:sectPr>
          <w:footerReference w:type="default" r:id="rId7"/>
          <w:type w:val="nextPage"/>
          <w:pgSz w:w="11906" w:h="16838" w:orient="portrait"/>
          <w:pgMar w:top="1134" w:right="850" w:bottom="1134" w:left="1701" w:header="708" w:footer="708" w:gutter="0"/>
          <w:pgNumType w:start="1" w:fmt="upperRoman"/>
          <w:docGrid w:linePitch="360"/>
        </w:sectPr>
      </w:pPr>
    </w:p>
    <w:p>
      <w:pPr>
        <w:pStyle w:val="Heading1"/>
        <w:spacing w:after="160" w:before="400" w:line="312"/>
      </w:pPr>
      <w:r>
        <w:rPr>
          <w:rFonts w:ascii="Times New Roman" w:hAnsi="Times New Roman"/>
          <w:b/>
          <w:bCs/>
          <w:color w:val="0F172A"/>
          <w:sz w:val="32"/>
          <w:szCs w:val="32"/>
        </w:rPr>
        <w:t xml:space="preserve">1. Общие сведения</w:t>
      </w:r>
    </w:p>
    <w:p>
      <w:pPr>
        <w:keepNext/>
        <w:spacing w:after="80" w:before="160" w:line="312"/>
      </w:pPr>
      <w:r>
        <w:rPr>
          <w:rFonts w:ascii="Times New Roman" w:hAnsi="Times New Roman"/>
          <w:b/>
          <w:bCs/>
          <w:color w:val="506070"/>
          <w:sz w:val="21"/>
          <w:szCs w:val="21"/>
        </w:rPr>
        <w:t xml:space="preserve">Таблица 1 — Реквизиты системы</w:t>
      </w:r>
    </w:p>
    <w:tbl>
      <w:tblPr>
        <w:tblW w:type="pct" w:w="100%"/>
        <w:tblBorders>
          <w:top w:val="single" w:color="9AA6B2" w:sz="4"/>
          <w:left w:val="none" w:color="FFFFFF" w:sz="0"/>
          <w:bottom w:val="single" w:color="9AA6B2" w:sz="4"/>
          <w:right w:val="none" w:color="FFFFFF" w:sz="0"/>
          <w:insideH w:val="single" w:color="D8DEE6" w:sz="2"/>
          <w:insideV w:val="none" w:color="FFFFFF" w:sz="0"/>
        </w:tblBorders>
      </w:tblPr>
      <w:tblGrid>
        <w:gridCol w:w="100"/>
        <w:gridCol w:w="100"/>
      </w:tblGrid>
      <w:tr>
        <w:trPr>
          <w:cantSplit/>
          <w:tblHeader/>
        </w:trPr>
        <w:tc>
          <w:tcPr>
            <w:tcW w:type="pct" w:w="28%"/>
            <w:shd w:fill="E8EEF5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/>
                <w:bCs/>
                <w:color w:val="0F172A"/>
                <w:sz w:val="20"/>
                <w:szCs w:val="20"/>
              </w:rPr>
              <w:t xml:space="preserve">Параметр</w:t>
            </w:r>
          </w:p>
        </w:tc>
        <w:tc>
          <w:tcPr>
            <w:tcW w:type="pct" w:w="72%"/>
            <w:shd w:fill="E8EEF5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/>
                <w:bCs/>
                <w:color w:val="0F172A"/>
                <w:sz w:val="20"/>
                <w:szCs w:val="20"/>
              </w:rPr>
              <w:t xml:space="preserve">Значение</w:t>
            </w:r>
          </w:p>
        </w:tc>
      </w:tr>
      <w:tr>
        <w:trPr>
          <w:cantSplit/>
        </w:trPr>
        <w:tc>
          <w:tcPr>
            <w:tcW w:type="pct" w:w="28%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 w:val="false"/>
                <w:bCs w:val="false"/>
                <w:color w:val="1A2332"/>
                <w:sz w:val="20"/>
                <w:szCs w:val="20"/>
              </w:rPr>
              <w:t xml:space="preserve">Наименование</w:t>
            </w:r>
          </w:p>
        </w:tc>
        <w:tc>
          <w:tcPr>
            <w:tcW w:type="pct" w:w="72%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 w:val="false"/>
                <w:bCs w:val="false"/>
                <w:color w:val="1A2332"/>
                <w:sz w:val="20"/>
                <w:szCs w:val="20"/>
              </w:rPr>
              <w:t xml:space="preserve">CAP (Complex Automation Pro) — АСУ ТП участка флотационного обогащения руды</w:t>
            </w:r>
          </w:p>
        </w:tc>
      </w:tr>
      <w:tr>
        <w:trPr>
          <w:cantSplit/>
        </w:trPr>
        <w:tc>
          <w:tcPr>
            <w:tcW w:type="pct" w:w="28%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 w:val="false"/>
                <w:bCs w:val="false"/>
                <w:color w:val="1A2332"/>
                <w:sz w:val="20"/>
                <w:szCs w:val="20"/>
              </w:rPr>
              <w:t xml:space="preserve">Назначение</w:t>
            </w:r>
          </w:p>
        </w:tc>
        <w:tc>
          <w:tcPr>
            <w:tcW w:type="pct" w:w="72%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 w:val="false"/>
                <w:bCs w:val="false"/>
                <w:color w:val="1A2332"/>
                <w:sz w:val="20"/>
                <w:szCs w:val="20"/>
              </w:rPr>
              <w:t xml:space="preserve">Оперативный диспетчерский контроль и супервизорное управление технологическим участком обогащения</w:t>
            </w:r>
          </w:p>
        </w:tc>
      </w:tr>
      <w:tr>
        <w:trPr>
          <w:cantSplit/>
        </w:trPr>
        <w:tc>
          <w:tcPr>
            <w:tcW w:type="pct" w:w="28%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 w:val="false"/>
                <w:bCs w:val="false"/>
                <w:color w:val="1A2332"/>
                <w:sz w:val="20"/>
                <w:szCs w:val="20"/>
              </w:rPr>
              <w:t xml:space="preserve">Класс</w:t>
            </w:r>
          </w:p>
        </w:tc>
        <w:tc>
          <w:tcPr>
            <w:tcW w:type="pct" w:w="72%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 w:val="false"/>
                <w:bCs w:val="false"/>
                <w:color w:val="1A2332"/>
                <w:sz w:val="20"/>
                <w:szCs w:val="20"/>
              </w:rPr>
              <w:t xml:space="preserve">SCADA-класс: HMI/историк с супервизорным контуром управления</w:t>
            </w:r>
          </w:p>
        </w:tc>
      </w:tr>
      <w:tr>
        <w:trPr>
          <w:cantSplit/>
        </w:trPr>
        <w:tc>
          <w:tcPr>
            <w:tcW w:type="pct" w:w="28%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 w:val="false"/>
                <w:bCs w:val="false"/>
                <w:color w:val="1A2332"/>
                <w:sz w:val="20"/>
                <w:szCs w:val="20"/>
              </w:rPr>
              <w:t xml:space="preserve">Версия</w:t>
            </w:r>
          </w:p>
        </w:tc>
        <w:tc>
          <w:tcPr>
            <w:tcW w:type="pct" w:w="72%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 w:val="false"/>
                <w:bCs w:val="false"/>
                <w:color w:val="1A2332"/>
                <w:sz w:val="20"/>
                <w:szCs w:val="20"/>
              </w:rPr>
              <w:t xml:space="preserve">MVP 1.0 (сентябрь 2026)</w:t>
            </w:r>
          </w:p>
        </w:tc>
      </w:tr>
      <w:tr>
        <w:trPr>
          <w:cantSplit/>
        </w:trPr>
        <w:tc>
          <w:tcPr>
            <w:tcW w:type="pct" w:w="28%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 w:val="false"/>
                <w:bCs w:val="false"/>
                <w:color w:val="1A2332"/>
                <w:sz w:val="20"/>
                <w:szCs w:val="20"/>
              </w:rPr>
              <w:t xml:space="preserve">Исполнение</w:t>
            </w:r>
          </w:p>
        </w:tc>
        <w:tc>
          <w:tcPr>
            <w:tcW w:type="pct" w:w="72%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 w:val="false"/>
                <w:bCs w:val="false"/>
                <w:color w:val="1A2332"/>
                <w:sz w:val="20"/>
                <w:szCs w:val="20"/>
              </w:rPr>
              <w:t xml:space="preserve">Одиночный узел (модульный монолит), без кластеризации</w:t>
            </w:r>
          </w:p>
        </w:tc>
      </w:tr>
      <w:tr>
        <w:trPr>
          <w:cantSplit/>
        </w:trPr>
        <w:tc>
          <w:tcPr>
            <w:tcW w:type="pct" w:w="28%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 w:val="false"/>
                <w:bCs w:val="false"/>
                <w:color w:val="1A2332"/>
                <w:sz w:val="20"/>
                <w:szCs w:val="20"/>
              </w:rPr>
              <w:t xml:space="preserve">Язык интерфейса</w:t>
            </w:r>
          </w:p>
        </w:tc>
        <w:tc>
          <w:tcPr>
            <w:tcW w:type="pct" w:w="72%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 w:val="false"/>
                <w:bCs w:val="false"/>
                <w:color w:val="1A2332"/>
                <w:sz w:val="20"/>
                <w:szCs w:val="20"/>
              </w:rPr>
              <w:t xml:space="preserve">Русский</w:t>
            </w:r>
          </w:p>
        </w:tc>
      </w:tr>
      <w:tr>
        <w:trPr>
          <w:cantSplit/>
        </w:trPr>
        <w:tc>
          <w:tcPr>
            <w:tcW w:type="pct" w:w="28%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 w:val="false"/>
                <w:bCs w:val="false"/>
                <w:color w:val="1A2332"/>
                <w:sz w:val="20"/>
                <w:szCs w:val="20"/>
              </w:rPr>
              <w:t xml:space="preserve">Стек</w:t>
            </w:r>
          </w:p>
        </w:tc>
        <w:tc>
          <w:tcPr>
            <w:tcW w:type="pct" w:w="72%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 w:val="false"/>
                <w:bCs w:val="false"/>
                <w:color w:val="1A2332"/>
                <w:sz w:val="20"/>
                <w:szCs w:val="20"/>
              </w:rPr>
              <w:t xml:space="preserve">Go 1.25 (сервер), React 18 + TypeScript + Vite + Tailwind (HMI), SQLite (WAL) / PostgreSQL, Modbus TCP (основной), OPC UA и Sparkplug (поддерживаются в шлюзе, не используются в демо)</w:t>
            </w:r>
          </w:p>
        </w:tc>
      </w:tr>
      <w:tr>
        <w:trPr>
          <w:cantSplit/>
        </w:trPr>
        <w:tc>
          <w:tcPr>
            <w:tcW w:type="pct" w:w="28%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 w:val="false"/>
                <w:bCs w:val="false"/>
                <w:color w:val="1A2332"/>
                <w:sz w:val="20"/>
                <w:szCs w:val="20"/>
              </w:rPr>
              <w:t xml:space="preserve">Лицензия</w:t>
            </w:r>
          </w:p>
        </w:tc>
        <w:tc>
          <w:tcPr>
            <w:tcW w:type="pct" w:w="72%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 w:val="false"/>
                <w:bCs w:val="false"/>
                <w:color w:val="1A2332"/>
                <w:sz w:val="20"/>
                <w:szCs w:val="20"/>
              </w:rPr>
              <w:t xml:space="preserve">MIT</w:t>
            </w:r>
          </w:p>
        </w:tc>
      </w:tr>
    </w:tbl>
    <w:p>
      <w:pPr>
        <w:pStyle w:val="Heading1"/>
        <w:spacing w:after="160" w:before="400" w:line="312"/>
      </w:pPr>
      <w:r>
        <w:rPr>
          <w:rFonts w:ascii="Times New Roman" w:hAnsi="Times New Roman"/>
          <w:b/>
          <w:bCs/>
          <w:color w:val="0F172A"/>
          <w:sz w:val="32"/>
          <w:szCs w:val="32"/>
        </w:rPr>
        <w:t xml:space="preserve">2. Назначение и цели</w:t>
      </w:r>
    </w:p>
    <w:p>
      <w:pPr>
        <w:spacing w:after="100" w:line="312"/>
        <w:ind w:firstLine="709"/>
        <w:jc w:val="both"/>
      </w:pPr>
      <w:r>
        <w:rPr>
          <w:rFonts w:ascii="Times New Roman" w:hAnsi="Times New Roman"/>
          <w:color w:val="1A2332"/>
          <w:sz w:val="24"/>
          <w:szCs w:val="24"/>
        </w:rPr>
        <w:t xml:space="preserve">Система предназначена для полного контура автоматизации участка флотационного обогащения медно-порфировой руды производительностью около 100 т/ч: от сбора телеметрии по промышленному протоколу до супервизорного управления и оценки технологической эффективности.</w:t>
      </w:r>
    </w:p>
    <w:p>
      <w:pPr>
        <w:pStyle w:val="ListParagraph"/>
        <w:numPr>
          <w:ilvl w:val="0"/>
          <w:numId w:val="1"/>
        </w:numPr>
        <w:spacing w:after="60" w:line="312"/>
        <w:jc w:val="both"/>
      </w:pPr>
      <w:r>
        <w:rPr>
          <w:rFonts w:ascii="Times New Roman" w:hAnsi="Times New Roman"/>
          <w:color w:val="1A2332"/>
          <w:sz w:val="24"/>
          <w:szCs w:val="24"/>
        </w:rPr>
        <w:t xml:space="preserve">Сбор телеметрии по реальному Modbus TCP: платформа не знает источника данных — все значения поступают через драйвер шлюза и контракт приёма ingest.</w:t>
      </w:r>
    </w:p>
    <w:p>
      <w:pPr>
        <w:pStyle w:val="ListParagraph"/>
        <w:numPr>
          <w:ilvl w:val="0"/>
          <w:numId w:val="1"/>
        </w:numPr>
        <w:spacing w:after="60" w:line="312"/>
        <w:jc w:val="both"/>
      </w:pPr>
      <w:r>
        <w:rPr>
          <w:rFonts w:ascii="Times New Roman" w:hAnsi="Times New Roman"/>
          <w:color w:val="1A2332"/>
          <w:sz w:val="24"/>
          <w:szCs w:val="24"/>
        </w:rPr>
        <w:t xml:space="preserve">Профессиональные инженерные расчёты: металлургический баланс по двухпродуктовой формуле, извлечение, выход, коэффициент обогащения, энергия измельчения по Бонду, циркулирующая нагрузка, удельные расходы реагентов; каждый показатель сопровождается строкой формулы и тегами-источниками.</w:t>
      </w:r>
    </w:p>
    <w:p>
      <w:pPr>
        <w:pStyle w:val="ListParagraph"/>
        <w:numPr>
          <w:ilvl w:val="0"/>
          <w:numId w:val="1"/>
        </w:numPr>
        <w:spacing w:after="60" w:line="312"/>
        <w:jc w:val="both"/>
      </w:pPr>
      <w:r>
        <w:rPr>
          <w:rFonts w:ascii="Times New Roman" w:hAnsi="Times New Roman"/>
          <w:color w:val="1A2332"/>
          <w:sz w:val="24"/>
          <w:szCs w:val="24"/>
        </w:rPr>
        <w:t xml:space="preserve">Управление, а не только мониторинг: три супервизорные ПИД-петли с режимами АВТО/РУЧН, уставками, ограничениями, watchdog-защитой и записью воздействий в Modbus (FC6); реализация ПИД-алгоритмов возможна на сервере capd, внешних ПЛК или ESP32 через Modbus FC6.</w:t>
      </w:r>
    </w:p>
    <w:p>
      <w:pPr>
        <w:pStyle w:val="ListParagraph"/>
        <w:numPr>
          <w:ilvl w:val="0"/>
          <w:numId w:val="1"/>
        </w:numPr>
        <w:spacing w:after="60" w:line="312"/>
        <w:jc w:val="both"/>
      </w:pPr>
      <w:r>
        <w:rPr>
          <w:rFonts w:ascii="Times New Roman" w:hAnsi="Times New Roman"/>
          <w:color w:val="1A2332"/>
          <w:sz w:val="24"/>
          <w:szCs w:val="24"/>
        </w:rPr>
        <w:t xml:space="preserve">Управление тревогами по ISA-18.2: рационализированные уставки, приоритеты, квитирование, неизменяемый журнал событий.</w:t>
      </w:r>
    </w:p>
    <w:p>
      <w:pPr>
        <w:pStyle w:val="ListParagraph"/>
        <w:numPr>
          <w:ilvl w:val="0"/>
          <w:numId w:val="1"/>
        </w:numPr>
        <w:spacing w:after="60" w:line="312"/>
        <w:jc w:val="both"/>
      </w:pPr>
      <w:r>
        <w:rPr>
          <w:rFonts w:ascii="Times New Roman" w:hAnsi="Times New Roman"/>
          <w:color w:val="1A2332"/>
          <w:sz w:val="24"/>
          <w:szCs w:val="24"/>
        </w:rPr>
        <w:t xml:space="preserve">HMI по мотивам ISA-101: мнемосхема с паспортом объекта (faceplate), тренды с таблицей перьев, металлургический баланс, журнал тревог.</w:t>
      </w:r>
    </w:p>
    <w:p>
      <w:pPr>
        <w:pStyle w:val="Heading1"/>
        <w:spacing w:after="160" w:before="400" w:line="312"/>
      </w:pPr>
      <w:r>
        <w:rPr>
          <w:rFonts w:ascii="Times New Roman" w:hAnsi="Times New Roman"/>
          <w:b/>
          <w:bCs/>
          <w:color w:val="0F172A"/>
          <w:sz w:val="32"/>
          <w:szCs w:val="32"/>
        </w:rPr>
        <w:t xml:space="preserve">3. Состав и архитектура</w:t>
      </w:r>
    </w:p>
    <w:p>
      <w:pPr>
        <w:pStyle w:val="Heading2"/>
        <w:spacing w:after="120" w:before="280" w:line="312"/>
      </w:pPr>
      <w:r>
        <w:rPr>
          <w:rFonts w:ascii="Times New Roman" w:hAnsi="Times New Roman"/>
          <w:b/>
          <w:bCs/>
          <w:color w:val="0F172A"/>
          <w:sz w:val="28"/>
          <w:szCs w:val="28"/>
        </w:rPr>
        <w:t xml:space="preserve">3.1. Компоненты</w:t>
      </w:r>
    </w:p>
    <w:p>
      <w:pPr>
        <w:keepNext/>
        <w:spacing w:after="80" w:before="160" w:line="312"/>
      </w:pPr>
      <w:r>
        <w:rPr>
          <w:rFonts w:ascii="Times New Roman" w:hAnsi="Times New Roman"/>
          <w:b/>
          <w:bCs/>
          <w:color w:val="506070"/>
          <w:sz w:val="21"/>
          <w:szCs w:val="21"/>
        </w:rPr>
        <w:t xml:space="preserve">Таблица 2 — Состав программных компонентов</w:t>
      </w:r>
    </w:p>
    <w:tbl>
      <w:tblPr>
        <w:tblW w:type="pct" w:w="100%"/>
        <w:tblBorders>
          <w:top w:val="single" w:color="9AA6B2" w:sz="4"/>
          <w:left w:val="none" w:color="FFFFFF" w:sz="0"/>
          <w:bottom w:val="single" w:color="9AA6B2" w:sz="4"/>
          <w:right w:val="none" w:color="FFFFFF" w:sz="0"/>
          <w:insideH w:val="single" w:color="D8DEE6" w:sz="2"/>
          <w:insideV w:val="none" w:color="FFFFFF" w:sz="0"/>
        </w:tblBorders>
      </w:tblPr>
      <w:tblGrid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14%"/>
            <w:shd w:fill="E8EEF5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/>
                <w:bCs/>
                <w:color w:val="0F172A"/>
                <w:sz w:val="20"/>
                <w:szCs w:val="20"/>
              </w:rPr>
              <w:t xml:space="preserve">Компонент</w:t>
            </w:r>
          </w:p>
        </w:tc>
        <w:tc>
          <w:tcPr>
            <w:tcW w:type="pct" w:w="28%"/>
            <w:shd w:fill="E8EEF5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/>
                <w:bCs/>
                <w:color w:val="0F172A"/>
                <w:sz w:val="20"/>
                <w:szCs w:val="20"/>
              </w:rPr>
              <w:t xml:space="preserve">Процесс</w:t>
            </w:r>
          </w:p>
        </w:tc>
        <w:tc>
          <w:tcPr>
            <w:tcW w:type="pct" w:w="58%"/>
            <w:shd w:fill="E8EEF5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/>
                <w:bCs/>
                <w:color w:val="0F172A"/>
                <w:sz w:val="20"/>
                <w:szCs w:val="20"/>
              </w:rPr>
              <w:t xml:space="preserve">Назначение</w:t>
            </w:r>
          </w:p>
        </w:tc>
      </w:tr>
      <w:tr>
        <w:trPr>
          <w:cantSplit/>
        </w:trPr>
        <w:tc>
          <w:tcPr>
            <w:tcW w:type="pct" w:w="14%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 w:val="false"/>
                <w:bCs w:val="false"/>
                <w:color w:val="1A2332"/>
                <w:sz w:val="20"/>
                <w:szCs w:val="20"/>
              </w:rPr>
              <w:t xml:space="preserve">capd</w:t>
            </w:r>
          </w:p>
        </w:tc>
        <w:tc>
          <w:tcPr>
            <w:tcW w:type="pct" w:w="28%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 w:val="false"/>
                <w:bCs w:val="false"/>
                <w:color w:val="1A2332"/>
                <w:sz w:val="20"/>
                <w:szCs w:val="20"/>
              </w:rPr>
              <w:t xml:space="preserve">Единственный серверный бинарник, порт 8000</w:t>
            </w:r>
          </w:p>
        </w:tc>
        <w:tc>
          <w:tcPr>
            <w:tcW w:type="pct" w:w="58%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 w:val="false"/>
                <w:bCs w:val="false"/>
                <w:color w:val="1A2332"/>
                <w:sz w:val="20"/>
                <w:szCs w:val="20"/>
              </w:rPr>
              <w:t xml:space="preserve">REST API + WebSocket, аутентификация и RBAC, приём телеметрии (идемпотентно), историк, тревоги ISA-18.2, ПИД-контуры, металлургические расчёты, реестр активов/тегов, встроенный SPA-интерфейс</w:t>
            </w:r>
          </w:p>
        </w:tc>
      </w:tr>
      <w:tr>
        <w:trPr>
          <w:cantSplit/>
        </w:trPr>
        <w:tc>
          <w:tcPr>
            <w:tcW w:type="pct" w:w="14%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 w:val="false"/>
                <w:bCs w:val="false"/>
                <w:color w:val="1A2332"/>
                <w:sz w:val="20"/>
                <w:szCs w:val="20"/>
              </w:rPr>
              <w:t xml:space="preserve">edge</w:t>
            </w:r>
          </w:p>
        </w:tc>
        <w:tc>
          <w:tcPr>
            <w:tcW w:type="pct" w:w="28%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 w:val="false"/>
                <w:bCs w:val="false"/>
                <w:color w:val="1A2332"/>
                <w:sz w:val="20"/>
                <w:szCs w:val="20"/>
              </w:rPr>
              <w:t xml:space="preserve">Шлюз сбора, отдельный процесс</w:t>
            </w:r>
          </w:p>
        </w:tc>
        <w:tc>
          <w:tcPr>
            <w:tcW w:type="pct" w:w="58%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 w:val="false"/>
                <w:bCs w:val="false"/>
                <w:color w:val="1A2332"/>
                <w:sz w:val="20"/>
                <w:szCs w:val="20"/>
              </w:rPr>
              <w:t xml:space="preserve">Опрос Modbus TCP с периодом 1 с, нормализация к контракту телеметрии, буферизация store-and-forward при недоступности сервера (SQLite с подтверждением доставки), FC6-мост записи актуаторов</w:t>
            </w:r>
          </w:p>
        </w:tc>
      </w:tr>
      <w:tr>
        <w:trPr>
          <w:cantSplit/>
        </w:trPr>
        <w:tc>
          <w:tcPr>
            <w:tcW w:type="pct" w:w="14%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 w:val="false"/>
                <w:bCs w:val="false"/>
                <w:color w:val="1A2332"/>
                <w:sz w:val="20"/>
                <w:szCs w:val="20"/>
              </w:rPr>
              <w:t xml:space="preserve">plantsim</w:t>
            </w:r>
          </w:p>
        </w:tc>
        <w:tc>
          <w:tcPr>
            <w:tcW w:type="pct" w:w="28%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 w:val="false"/>
                <w:bCs w:val="false"/>
                <w:color w:val="1A2332"/>
                <w:sz w:val="20"/>
                <w:szCs w:val="20"/>
              </w:rPr>
              <w:t xml:space="preserve">Демонстрационный стенд, порты 1502 (Modbus) и 15080 (HTTP)</w:t>
            </w:r>
          </w:p>
        </w:tc>
        <w:tc>
          <w:tcPr>
            <w:tcW w:type="pct" w:w="58%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 w:val="false"/>
                <w:bCs w:val="false"/>
                <w:color w:val="1A2332"/>
                <w:sz w:val="20"/>
                <w:szCs w:val="20"/>
              </w:rPr>
              <w:t xml:space="preserve">Математическая модель процесса обогащения за настоящим Modbus TCP сервером (FC3/FC4/FC6, ручной разбор MBAP) + HTTP-интерфейс сценариев. В эксплуатации заменяется контроллерами завода</w:t>
            </w:r>
          </w:p>
        </w:tc>
      </w:tr>
    </w:tbl>
    <w:p>
      <w:pPr>
        <w:pStyle w:val="Heading2"/>
        <w:spacing w:after="120" w:before="280" w:line="312"/>
      </w:pPr>
      <w:r>
        <w:rPr>
          <w:rFonts w:ascii="Times New Roman" w:hAnsi="Times New Roman"/>
          <w:b/>
          <w:bCs/>
          <w:color w:val="0F172A"/>
          <w:sz w:val="28"/>
          <w:szCs w:val="28"/>
        </w:rPr>
        <w:t xml:space="preserve">3.2. Схема взаимодействия</w:t>
      </w:r>
    </w:p>
    <w:p>
      <w:pPr>
        <w:shd w:fill="F4F7FA" w:val="clear"/>
        <w:spacing w:after="120" w:before="60" w:line="276"/>
        <w:ind w:left="400"/>
      </w:pPr>
      <w:r>
        <w:rPr>
          <w:rFonts w:ascii="Courier New" w:hAnsi="Courier New"/>
          <w:color w:val="1A2332"/>
          <w:sz w:val="16"/>
          <w:szCs w:val="16"/>
        </w:rPr>
        <w:t xml:space="preserve">                    ┌──────────────────────────────────────────┐</w:t>
      </w:r>
    </w:p>
    <w:p>
      <w:pPr>
        <w:shd w:fill="F4F7FA" w:val="clear"/>
        <w:spacing w:after="120" w:before="60" w:line="276"/>
        <w:ind w:left="400"/>
      </w:pPr>
      <w:r>
        <w:rPr>
          <w:rFonts w:ascii="Courier New" w:hAnsi="Courier New"/>
          <w:color w:val="1A2332"/>
          <w:sz w:val="16"/>
          <w:szCs w:val="16"/>
        </w:rPr>
        <w:t xml:space="preserve">                    │  capd — единственный сервер :8000        │</w:t>
      </w:r>
    </w:p>
    <w:p>
      <w:pPr>
        <w:shd w:fill="F4F7FA" w:val="clear"/>
        <w:spacing w:after="120" w:before="60" w:line="276"/>
        <w:ind w:left="400"/>
      </w:pPr>
      <w:r>
        <w:rPr>
          <w:rFonts w:ascii="Courier New" w:hAnsi="Courier New"/>
          <w:color w:val="1A2332"/>
          <w:sz w:val="16"/>
          <w:szCs w:val="16"/>
        </w:rPr>
        <w:t xml:space="preserve">                    │  api · auth · ingest · historian ·       │</w:t>
      </w:r>
    </w:p>
    <w:p>
      <w:pPr>
        <w:shd w:fill="F4F7FA" w:val="clear"/>
        <w:spacing w:after="120" w:before="60" w:line="276"/>
        <w:ind w:left="400"/>
      </w:pPr>
      <w:r>
        <w:rPr>
          <w:rFonts w:ascii="Courier New" w:hAnsi="Courier New"/>
          <w:color w:val="1A2332"/>
          <w:sz w:val="16"/>
          <w:szCs w:val="16"/>
        </w:rPr>
        <w:t xml:space="preserve">                    │  alarms · control · metallurgy ·         │</w:t>
      </w:r>
    </w:p>
    <w:p>
      <w:pPr>
        <w:shd w:fill="F4F7FA" w:val="clear"/>
        <w:spacing w:after="120" w:before="60" w:line="276"/>
        <w:ind w:left="400"/>
      </w:pPr>
      <w:r>
        <w:rPr>
          <w:rFonts w:ascii="Courier New" w:hAnsi="Courier New"/>
          <w:color w:val="1A2332"/>
          <w:sz w:val="16"/>
          <w:szCs w:val="16"/>
        </w:rPr>
        <w:t xml:space="preserve">                    │  registry · hub · store · web (SPA)      │</w:t>
      </w:r>
    </w:p>
    <w:p>
      <w:pPr>
        <w:shd w:fill="F4F7FA" w:val="clear"/>
        <w:spacing w:after="120" w:before="60" w:line="276"/>
        <w:ind w:left="400"/>
      </w:pPr>
      <w:r>
        <w:rPr>
          <w:rFonts w:ascii="Courier New" w:hAnsi="Courier New"/>
          <w:color w:val="1A2332"/>
          <w:sz w:val="16"/>
          <w:szCs w:val="16"/>
        </w:rPr>
        <w:t xml:space="preserve">                    └────────▲──────────────────┬──────────────┘</w:t>
      </w:r>
    </w:p>
    <w:p>
      <w:pPr>
        <w:shd w:fill="F4F7FA" w:val="clear"/>
        <w:spacing w:after="120" w:before="60" w:line="276"/>
        <w:ind w:left="400"/>
      </w:pPr>
      <w:r>
        <w:rPr>
          <w:rFonts w:ascii="Courier New" w:hAnsi="Courier New"/>
          <w:color w:val="1A2332"/>
          <w:sz w:val="16"/>
          <w:szCs w:val="16"/>
        </w:rPr>
        <w:t xml:space="preserve">              HTTP batch     │                  │ GET /control/output</w:t>
      </w:r>
    </w:p>
    <w:p>
      <w:pPr>
        <w:shd w:fill="F4F7FA" w:val="clear"/>
        <w:spacing w:after="120" w:before="60" w:line="276"/>
        <w:ind w:left="400"/>
      </w:pPr>
      <w:r>
        <w:rPr>
          <w:rFonts w:ascii="Courier New" w:hAnsi="Courier New"/>
          <w:color w:val="1A2332"/>
          <w:sz w:val="16"/>
          <w:szCs w:val="16"/>
        </w:rPr>
        <w:t xml:space="preserve">   ┌──────────┐  Modbus TCP   │      FC6-мост    │</w:t>
      </w:r>
    </w:p>
    <w:p>
      <w:pPr>
        <w:shd w:fill="F4F7FA" w:val="clear"/>
        <w:spacing w:after="120" w:before="60" w:line="276"/>
        <w:ind w:left="400"/>
      </w:pPr>
      <w:r>
        <w:rPr>
          <w:rFonts w:ascii="Courier New" w:hAnsi="Courier New"/>
          <w:color w:val="1A2332"/>
          <w:sz w:val="16"/>
          <w:szCs w:val="16"/>
        </w:rPr>
        <w:t xml:space="preserve">   │ plantsim │◄──────────────┴──────────────────┤</w:t>
      </w:r>
    </w:p>
    <w:p>
      <w:pPr>
        <w:shd w:fill="F4F7FA" w:val="clear"/>
        <w:spacing w:after="120" w:before="60" w:line="276"/>
        <w:ind w:left="400"/>
      </w:pPr>
      <w:r>
        <w:rPr>
          <w:rFonts w:ascii="Courier New" w:hAnsi="Courier New"/>
          <w:color w:val="1A2332"/>
          <w:sz w:val="16"/>
          <w:szCs w:val="16"/>
        </w:rPr>
        <w:t xml:space="preserve">   │ :1502/:15080                            │</w:t>
      </w:r>
    </w:p>
    <w:p>
      <w:pPr>
        <w:shd w:fill="F4F7FA" w:val="clear"/>
        <w:spacing w:after="120" w:before="60" w:line="276"/>
        <w:ind w:left="400"/>
      </w:pPr>
      <w:r>
        <w:rPr>
          <w:rFonts w:ascii="Courier New" w:hAnsi="Courier New"/>
          <w:color w:val="1A2332"/>
          <w:sz w:val="16"/>
          <w:szCs w:val="16"/>
        </w:rPr>
        <w:t xml:space="preserve">   └──────────┘        edge (шлюз сбора) ────┘</w:t>
      </w:r>
    </w:p>
    <w:p>
      <w:pPr>
        <w:shd w:fill="F4F7FA" w:val="clear"/>
        <w:spacing w:after="120" w:before="60" w:line="276"/>
        <w:ind w:left="400"/>
      </w:pPr>
      <w:r>
        <w:rPr>
          <w:rFonts w:ascii="Courier New" w:hAnsi="Courier New"/>
          <w:color w:val="1A2332"/>
          <w:sz w:val="16"/>
          <w:szCs w:val="16"/>
        </w:rPr>
        <w:t xml:space="preserve">   (демо-стенд)        store-and-forward буфер</w:t>
      </w:r>
    </w:p>
    <w:p>
      <w:pPr>
        <w:spacing w:after="100" w:line="312"/>
        <w:ind w:firstLine="709"/>
        <w:jc w:val="both"/>
      </w:pPr>
      <w:r>
        <w:rPr>
          <w:rFonts w:ascii="Times New Roman" w:hAnsi="Times New Roman"/>
          <w:color w:val="1A2332"/>
          <w:sz w:val="24"/>
          <w:szCs w:val="24"/>
        </w:rPr>
        <w:t xml:space="preserve">Единственный путь телеметрии: plantsim/ПЛК → Modbus TCP → edge → приём (идемпотентно) → capd → историк и WebSocket. Виртуальные расчётные теги calc_* проходят через тот же контракт приёма.</w:t>
      </w:r>
    </w:p>
    <w:p>
      <w:pPr>
        <w:pStyle w:val="Heading2"/>
        <w:spacing w:after="120" w:before="280" w:line="312"/>
      </w:pPr>
      <w:r>
        <w:rPr>
          <w:rFonts w:ascii="Times New Roman" w:hAnsi="Times New Roman"/>
          <w:b/>
          <w:bCs/>
          <w:color w:val="0F172A"/>
          <w:sz w:val="28"/>
          <w:szCs w:val="28"/>
        </w:rPr>
        <w:t xml:space="preserve">3.3. Правила зависимостей</w:t>
      </w:r>
    </w:p>
    <w:p>
      <w:pPr>
        <w:pStyle w:val="ListParagraph"/>
        <w:numPr>
          <w:ilvl w:val="0"/>
          <w:numId w:val="2"/>
        </w:numPr>
        <w:spacing w:after="60" w:line="312"/>
        <w:jc w:val="both"/>
      </w:pPr>
      <w:r>
        <w:rPr>
          <w:rFonts w:ascii="Times New Roman" w:hAnsi="Times New Roman"/>
          <w:color w:val="1A2332"/>
          <w:sz w:val="24"/>
          <w:szCs w:val="24"/>
        </w:rPr>
        <w:t xml:space="preserve">SQL выполняется только в модуле store (единый владелец базы).</w:t>
      </w:r>
    </w:p>
    <w:p>
      <w:pPr>
        <w:pStyle w:val="ListParagraph"/>
        <w:numPr>
          <w:ilvl w:val="0"/>
          <w:numId w:val="2"/>
        </w:numPr>
        <w:spacing w:after="60" w:line="312"/>
        <w:jc w:val="both"/>
      </w:pPr>
      <w:r>
        <w:rPr>
          <w:rFonts w:ascii="Times New Roman" w:hAnsi="Times New Roman"/>
          <w:color w:val="1A2332"/>
          <w:sz w:val="24"/>
          <w:szCs w:val="24"/>
        </w:rPr>
        <w:t xml:space="preserve">Модули не вызывают друг друга по HTTP; обмен — через событийную шину hub и вызовы публичных функций доменных пакетов.</w:t>
      </w:r>
    </w:p>
    <w:p>
      <w:pPr>
        <w:pStyle w:val="ListParagraph"/>
        <w:numPr>
          <w:ilvl w:val="0"/>
          <w:numId w:val="2"/>
        </w:numPr>
        <w:spacing w:after="60" w:line="312"/>
        <w:jc w:val="both"/>
      </w:pPr>
      <w:r>
        <w:rPr>
          <w:rFonts w:ascii="Times New Roman" w:hAnsi="Times New Roman"/>
          <w:color w:val="1A2332"/>
          <w:sz w:val="24"/>
          <w:szCs w:val="24"/>
        </w:rPr>
        <w:t xml:space="preserve">Любая телеметрия проходит валидацию контракта schema; прямая запись показаний в базу в обход приёма отсутствует.</w:t>
      </w:r>
    </w:p>
    <w:p>
      <w:pPr>
        <w:pStyle w:val="ListParagraph"/>
        <w:numPr>
          <w:ilvl w:val="0"/>
          <w:numId w:val="2"/>
        </w:numPr>
        <w:spacing w:after="60" w:line="312"/>
        <w:jc w:val="both"/>
      </w:pPr>
      <w:r>
        <w:rPr>
          <w:rFonts w:ascii="Times New Roman" w:hAnsi="Times New Roman"/>
          <w:color w:val="1A2332"/>
          <w:sz w:val="24"/>
          <w:szCs w:val="24"/>
        </w:rPr>
        <w:t xml:space="preserve">Транспортный слой api не содержит формул и бизнес-правил.</w:t>
      </w:r>
    </w:p>
    <w:p>
      <w:pPr>
        <w:pStyle w:val="ListParagraph"/>
        <w:numPr>
          <w:ilvl w:val="0"/>
          <w:numId w:val="2"/>
        </w:numPr>
        <w:spacing w:after="60" w:line="312"/>
        <w:jc w:val="both"/>
      </w:pPr>
      <w:r>
        <w:rPr>
          <w:rFonts w:ascii="Times New Roman" w:hAnsi="Times New Roman"/>
          <w:color w:val="1A2332"/>
          <w:sz w:val="24"/>
          <w:szCs w:val="24"/>
        </w:rPr>
        <w:t xml:space="preserve">Конфигурация — только через переменные окружения, значения по умолчанию безопасные.</w:t>
      </w:r>
    </w:p>
    <w:p>
      <w:pPr>
        <w:pStyle w:val="Heading1"/>
        <w:spacing w:after="160" w:before="400" w:line="312"/>
      </w:pPr>
      <w:r>
        <w:rPr>
          <w:rFonts w:ascii="Times New Roman" w:hAnsi="Times New Roman"/>
          <w:b/>
          <w:bCs/>
          <w:color w:val="0F172A"/>
          <w:sz w:val="32"/>
          <w:szCs w:val="32"/>
        </w:rPr>
        <w:t xml:space="preserve">4. Технологический объект</w:t>
      </w:r>
    </w:p>
    <w:p>
      <w:pPr>
        <w:spacing w:after="100" w:line="312"/>
        <w:ind w:firstLine="709"/>
        <w:jc w:val="both"/>
      </w:pPr>
      <w:r>
        <w:rPr>
          <w:rFonts w:ascii="Times New Roman" w:hAnsi="Times New Roman"/>
          <w:color w:val="1A2332"/>
          <w:sz w:val="24"/>
          <w:szCs w:val="24"/>
        </w:rPr>
        <w:t xml:space="preserve">Объект — участок флотационного обогащения медно-порфировой руды. Технологическая цепочка: бункер руды → дробилка → шаровая мельница с гидроциклоном (классификация) → флотация (rougher/scavenger с подачей собирателя и вспенивателя) → сгуститель → вакуум-фильтр → отгрузка кека; ветка хвостов направляется в хвостохранилище.</w:t>
      </w:r>
    </w:p>
    <w:p>
      <w:pPr>
        <w:keepNext/>
        <w:spacing w:after="80" w:before="160" w:line="312"/>
      </w:pPr>
      <w:r>
        <w:rPr>
          <w:rFonts w:ascii="Times New Roman" w:hAnsi="Times New Roman"/>
          <w:b/>
          <w:bCs/>
          <w:color w:val="506070"/>
          <w:sz w:val="21"/>
          <w:szCs w:val="21"/>
        </w:rPr>
        <w:t xml:space="preserve">Таблица 3 — Номинальные параметры (стационарный режим)</w:t>
      </w:r>
    </w:p>
    <w:tbl>
      <w:tblPr>
        <w:tblW w:type="pct" w:w="100%"/>
        <w:tblBorders>
          <w:top w:val="single" w:color="9AA6B2" w:sz="4"/>
          <w:left w:val="none" w:color="FFFFFF" w:sz="0"/>
          <w:bottom w:val="single" w:color="9AA6B2" w:sz="4"/>
          <w:right w:val="none" w:color="FFFFFF" w:sz="0"/>
          <w:insideH w:val="single" w:color="D8DEE6" w:sz="2"/>
          <w:insideV w:val="none" w:color="FFFFFF" w:sz="0"/>
        </w:tblBorders>
      </w:tblPr>
      <w:tblGrid>
        <w:gridCol w:w="100"/>
        <w:gridCol w:w="100"/>
      </w:tblGrid>
      <w:tr>
        <w:trPr>
          <w:cantSplit/>
          <w:tblHeader/>
        </w:trPr>
        <w:tc>
          <w:tcPr>
            <w:tcW w:type="pct" w:w="55%"/>
            <w:shd w:fill="E8EEF5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/>
                <w:bCs/>
                <w:color w:val="0F172A"/>
                <w:sz w:val="20"/>
                <w:szCs w:val="20"/>
              </w:rPr>
              <w:t xml:space="preserve">Параметр</w:t>
            </w:r>
          </w:p>
        </w:tc>
        <w:tc>
          <w:tcPr>
            <w:tcW w:type="pct" w:w="45%"/>
            <w:shd w:fill="E8EEF5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/>
                <w:bCs/>
                <w:color w:val="0F172A"/>
                <w:sz w:val="20"/>
                <w:szCs w:val="20"/>
              </w:rPr>
              <w:t xml:space="preserve">Значение</w:t>
            </w:r>
          </w:p>
        </w:tc>
      </w:tr>
      <w:tr>
        <w:trPr>
          <w:cantSplit/>
        </w:trPr>
        <w:tc>
          <w:tcPr>
            <w:tcW w:type="pct" w:w="55%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 w:val="false"/>
                <w:bCs w:val="false"/>
                <w:color w:val="1A2332"/>
                <w:sz w:val="20"/>
                <w:szCs w:val="20"/>
              </w:rPr>
              <w:t xml:space="preserve">Производительность по руде</w:t>
            </w:r>
          </w:p>
        </w:tc>
        <w:tc>
          <w:tcPr>
            <w:tcW w:type="pct" w:w="45%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 w:val="false"/>
                <w:bCs w:val="false"/>
                <w:color w:val="1A2332"/>
                <w:sz w:val="20"/>
                <w:szCs w:val="20"/>
              </w:rPr>
              <w:t xml:space="preserve">100 т/ч</w:t>
            </w:r>
          </w:p>
        </w:tc>
      </w:tr>
      <w:tr>
        <w:trPr>
          <w:cantSplit/>
        </w:trPr>
        <w:tc>
          <w:tcPr>
            <w:tcW w:type="pct" w:w="55%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 w:val="false"/>
                <w:bCs w:val="false"/>
                <w:color w:val="1A2332"/>
                <w:sz w:val="20"/>
                <w:szCs w:val="20"/>
              </w:rPr>
              <w:t xml:space="preserve">Содержание Cu в питании (α)</w:t>
            </w:r>
          </w:p>
        </w:tc>
        <w:tc>
          <w:tcPr>
            <w:tcW w:type="pct" w:w="45%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 w:val="false"/>
                <w:bCs w:val="false"/>
                <w:color w:val="1A2332"/>
                <w:sz w:val="20"/>
                <w:szCs w:val="20"/>
              </w:rPr>
              <w:t xml:space="preserve">0,80 %</w:t>
            </w:r>
          </w:p>
        </w:tc>
      </w:tr>
      <w:tr>
        <w:trPr>
          <w:cantSplit/>
        </w:trPr>
        <w:tc>
          <w:tcPr>
            <w:tcW w:type="pct" w:w="55%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 w:val="false"/>
                <w:bCs w:val="false"/>
                <w:color w:val="1A2332"/>
                <w:sz w:val="20"/>
                <w:szCs w:val="20"/>
              </w:rPr>
              <w:t xml:space="preserve">Содержание Cu в концентрате (β)</w:t>
            </w:r>
          </w:p>
        </w:tc>
        <w:tc>
          <w:tcPr>
            <w:tcW w:type="pct" w:w="45%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 w:val="false"/>
                <w:bCs w:val="false"/>
                <w:color w:val="1A2332"/>
                <w:sz w:val="20"/>
                <w:szCs w:val="20"/>
              </w:rPr>
              <w:t xml:space="preserve">22 %</w:t>
            </w:r>
          </w:p>
        </w:tc>
      </w:tr>
      <w:tr>
        <w:trPr>
          <w:cantSplit/>
        </w:trPr>
        <w:tc>
          <w:tcPr>
            <w:tcW w:type="pct" w:w="55%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 w:val="false"/>
                <w:bCs w:val="false"/>
                <w:color w:val="1A2332"/>
                <w:sz w:val="20"/>
                <w:szCs w:val="20"/>
              </w:rPr>
              <w:t xml:space="preserve">Содержание Cu в хвостах (θ)</w:t>
            </w:r>
          </w:p>
        </w:tc>
        <w:tc>
          <w:tcPr>
            <w:tcW w:type="pct" w:w="45%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 w:val="false"/>
                <w:bCs w:val="false"/>
                <w:color w:val="1A2332"/>
                <w:sz w:val="20"/>
                <w:szCs w:val="20"/>
              </w:rPr>
              <w:t xml:space="preserve">0,08 %</w:t>
            </w:r>
          </w:p>
        </w:tc>
      </w:tr>
      <w:tr>
        <w:trPr>
          <w:cantSplit/>
        </w:trPr>
        <w:tc>
          <w:tcPr>
            <w:tcW w:type="pct" w:w="55%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 w:val="false"/>
                <w:bCs w:val="false"/>
                <w:color w:val="1A2332"/>
                <w:sz w:val="20"/>
                <w:szCs w:val="20"/>
              </w:rPr>
              <w:t xml:space="preserve">Извлечение ε (расчёт)</w:t>
            </w:r>
          </w:p>
        </w:tc>
        <w:tc>
          <w:tcPr>
            <w:tcW w:type="pct" w:w="45%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 w:val="false"/>
                <w:bCs w:val="false"/>
                <w:color w:val="1A2332"/>
                <w:sz w:val="20"/>
                <w:szCs w:val="20"/>
              </w:rPr>
              <w:t xml:space="preserve">≈ 90,3 %</w:t>
            </w:r>
          </w:p>
        </w:tc>
      </w:tr>
      <w:tr>
        <w:trPr>
          <w:cantSplit/>
        </w:trPr>
        <w:tc>
          <w:tcPr>
            <w:tcW w:type="pct" w:w="55%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 w:val="false"/>
                <w:bCs w:val="false"/>
                <w:color w:val="1A2332"/>
                <w:sz w:val="20"/>
                <w:szCs w:val="20"/>
              </w:rPr>
              <w:t xml:space="preserve">Выход концентрата γ</w:t>
            </w:r>
          </w:p>
        </w:tc>
        <w:tc>
          <w:tcPr>
            <w:tcW w:type="pct" w:w="45%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 w:val="false"/>
                <w:bCs w:val="false"/>
                <w:color w:val="1A2332"/>
                <w:sz w:val="20"/>
                <w:szCs w:val="20"/>
              </w:rPr>
              <w:t xml:space="preserve">≈ 3,3 % (3,29 т/ч)</w:t>
            </w:r>
          </w:p>
        </w:tc>
      </w:tr>
      <w:tr>
        <w:trPr>
          <w:cantSplit/>
        </w:trPr>
        <w:tc>
          <w:tcPr>
            <w:tcW w:type="pct" w:w="55%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 w:val="false"/>
                <w:bCs w:val="false"/>
                <w:color w:val="1A2332"/>
                <w:sz w:val="20"/>
                <w:szCs w:val="20"/>
              </w:rPr>
              <w:t xml:space="preserve">Крупность слива P80</w:t>
            </w:r>
          </w:p>
        </w:tc>
        <w:tc>
          <w:tcPr>
            <w:tcW w:type="pct" w:w="45%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 w:val="false"/>
                <w:bCs w:val="false"/>
                <w:color w:val="1A2332"/>
                <w:sz w:val="20"/>
                <w:szCs w:val="20"/>
              </w:rPr>
              <w:t xml:space="preserve">150 мкм</w:t>
            </w:r>
          </w:p>
        </w:tc>
      </w:tr>
      <w:tr>
        <w:trPr>
          <w:cantSplit/>
        </w:trPr>
        <w:tc>
          <w:tcPr>
            <w:tcW w:type="pct" w:w="55%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 w:val="false"/>
                <w:bCs w:val="false"/>
                <w:color w:val="1A2332"/>
                <w:sz w:val="20"/>
                <w:szCs w:val="20"/>
              </w:rPr>
              <w:t xml:space="preserve">Крупность питания F80</w:t>
            </w:r>
          </w:p>
        </w:tc>
        <w:tc>
          <w:tcPr>
            <w:tcW w:type="pct" w:w="45%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 w:val="false"/>
                <w:bCs w:val="false"/>
                <w:color w:val="1A2332"/>
                <w:sz w:val="20"/>
                <w:szCs w:val="20"/>
              </w:rPr>
              <w:t xml:space="preserve">6 500 мкм</w:t>
            </w:r>
          </w:p>
        </w:tc>
      </w:tr>
      <w:tr>
        <w:trPr>
          <w:cantSplit/>
        </w:trPr>
        <w:tc>
          <w:tcPr>
            <w:tcW w:type="pct" w:w="55%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 w:val="false"/>
                <w:bCs w:val="false"/>
                <w:color w:val="1A2332"/>
                <w:sz w:val="20"/>
                <w:szCs w:val="20"/>
              </w:rPr>
              <w:t xml:space="preserve">Циркулирующая нагрузка CL</w:t>
            </w:r>
          </w:p>
        </w:tc>
        <w:tc>
          <w:tcPr>
            <w:tcW w:type="pct" w:w="45%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 w:val="false"/>
                <w:bCs w:val="false"/>
                <w:color w:val="1A2332"/>
                <w:sz w:val="20"/>
                <w:szCs w:val="20"/>
              </w:rPr>
              <w:t xml:space="preserve">≈ 250 %</w:t>
            </w:r>
          </w:p>
        </w:tc>
      </w:tr>
      <w:tr>
        <w:trPr>
          <w:cantSplit/>
        </w:trPr>
        <w:tc>
          <w:tcPr>
            <w:tcW w:type="pct" w:w="55%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 w:val="false"/>
                <w:bCs w:val="false"/>
                <w:color w:val="1A2332"/>
                <w:sz w:val="20"/>
                <w:szCs w:val="20"/>
              </w:rPr>
              <w:t xml:space="preserve">Индекс работы Бонда Wi</w:t>
            </w:r>
          </w:p>
        </w:tc>
        <w:tc>
          <w:tcPr>
            <w:tcW w:type="pct" w:w="45%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 w:val="false"/>
                <w:bCs w:val="false"/>
                <w:color w:val="1A2332"/>
                <w:sz w:val="20"/>
                <w:szCs w:val="20"/>
              </w:rPr>
              <w:t xml:space="preserve">14,5 кВт·ч/т</w:t>
            </w:r>
          </w:p>
        </w:tc>
      </w:tr>
      <w:tr>
        <w:trPr>
          <w:cantSplit/>
        </w:trPr>
        <w:tc>
          <w:tcPr>
            <w:tcW w:type="pct" w:w="55%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 w:val="false"/>
                <w:bCs w:val="false"/>
                <w:color w:val="1A2332"/>
                <w:sz w:val="20"/>
                <w:szCs w:val="20"/>
              </w:rPr>
              <w:t xml:space="preserve">Мощность мельницы</w:t>
            </w:r>
          </w:p>
        </w:tc>
        <w:tc>
          <w:tcPr>
            <w:tcW w:type="pct" w:w="45%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 w:val="false"/>
                <w:bCs w:val="false"/>
                <w:color w:val="1A2332"/>
                <w:sz w:val="20"/>
                <w:szCs w:val="20"/>
              </w:rPr>
              <w:t xml:space="preserve">≈ 1 250 кВт</w:t>
            </w:r>
          </w:p>
        </w:tc>
      </w:tr>
      <w:tr>
        <w:trPr>
          <w:cantSplit/>
        </w:trPr>
        <w:tc>
          <w:tcPr>
            <w:tcW w:type="pct" w:w="55%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 w:val="false"/>
                <w:bCs w:val="false"/>
                <w:color w:val="1A2332"/>
                <w:sz w:val="20"/>
                <w:szCs w:val="20"/>
              </w:rPr>
              <w:t xml:space="preserve">pH флотации</w:t>
            </w:r>
          </w:p>
        </w:tc>
        <w:tc>
          <w:tcPr>
            <w:tcW w:type="pct" w:w="45%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 w:val="false"/>
                <w:bCs w:val="false"/>
                <w:color w:val="1A2332"/>
                <w:sz w:val="20"/>
                <w:szCs w:val="20"/>
              </w:rPr>
              <w:t xml:space="preserve">10,2</w:t>
            </w:r>
          </w:p>
        </w:tc>
      </w:tr>
      <w:tr>
        <w:trPr>
          <w:cantSplit/>
        </w:trPr>
        <w:tc>
          <w:tcPr>
            <w:tcW w:type="pct" w:w="55%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 w:val="false"/>
                <w:bCs w:val="false"/>
                <w:color w:val="1A2332"/>
                <w:sz w:val="20"/>
                <w:szCs w:val="20"/>
              </w:rPr>
              <w:t xml:space="preserve">Твёрдость питания флотации</w:t>
            </w:r>
          </w:p>
        </w:tc>
        <w:tc>
          <w:tcPr>
            <w:tcW w:type="pct" w:w="45%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 w:val="false"/>
                <w:bCs w:val="false"/>
                <w:color w:val="1A2332"/>
                <w:sz w:val="20"/>
                <w:szCs w:val="20"/>
              </w:rPr>
              <w:t xml:space="preserve">30 % тв.</w:t>
            </w:r>
          </w:p>
        </w:tc>
      </w:tr>
      <w:tr>
        <w:trPr>
          <w:cantSplit/>
        </w:trPr>
        <w:tc>
          <w:tcPr>
            <w:tcW w:type="pct" w:w="55%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 w:val="false"/>
                <w:bCs w:val="false"/>
                <w:color w:val="1A2332"/>
                <w:sz w:val="20"/>
                <w:szCs w:val="20"/>
              </w:rPr>
              <w:t xml:space="preserve">Плотность сгущённого продукта</w:t>
            </w:r>
          </w:p>
        </w:tc>
        <w:tc>
          <w:tcPr>
            <w:tcW w:type="pct" w:w="45%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 w:val="false"/>
                <w:bCs w:val="false"/>
                <w:color w:val="1A2332"/>
                <w:sz w:val="20"/>
                <w:szCs w:val="20"/>
              </w:rPr>
              <w:t xml:space="preserve">45 % тв.</w:t>
            </w:r>
          </w:p>
        </w:tc>
      </w:tr>
      <w:tr>
        <w:trPr>
          <w:cantSplit/>
        </w:trPr>
        <w:tc>
          <w:tcPr>
            <w:tcW w:type="pct" w:w="55%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 w:val="false"/>
                <w:bCs w:val="false"/>
                <w:color w:val="1A2332"/>
                <w:sz w:val="20"/>
                <w:szCs w:val="20"/>
              </w:rPr>
              <w:t xml:space="preserve">Влажность кека</w:t>
            </w:r>
          </w:p>
        </w:tc>
        <w:tc>
          <w:tcPr>
            <w:tcW w:type="pct" w:w="45%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 w:val="false"/>
                <w:bCs w:val="false"/>
                <w:color w:val="1A2332"/>
                <w:sz w:val="20"/>
                <w:szCs w:val="20"/>
              </w:rPr>
              <w:t xml:space="preserve">10,5 %</w:t>
            </w:r>
          </w:p>
        </w:tc>
      </w:tr>
    </w:tbl>
    <w:p>
      <w:pPr>
        <w:pStyle w:val="Heading1"/>
        <w:spacing w:after="160" w:before="400" w:line="312"/>
      </w:pPr>
      <w:r>
        <w:rPr>
          <w:rFonts w:ascii="Times New Roman" w:hAnsi="Times New Roman"/>
          <w:b/>
          <w:bCs/>
          <w:color w:val="0F172A"/>
          <w:sz w:val="32"/>
          <w:szCs w:val="32"/>
        </w:rPr>
        <w:t xml:space="preserve">5. Функции системы</w:t>
      </w:r>
    </w:p>
    <w:p>
      <w:pPr>
        <w:pStyle w:val="Heading2"/>
        <w:spacing w:after="120" w:before="280" w:line="312"/>
      </w:pPr>
      <w:r>
        <w:rPr>
          <w:rFonts w:ascii="Times New Roman" w:hAnsi="Times New Roman"/>
          <w:b/>
          <w:bCs/>
          <w:color w:val="0F172A"/>
          <w:sz w:val="28"/>
          <w:szCs w:val="28"/>
        </w:rPr>
        <w:t xml:space="preserve">5.1. Сбор данных и шлюз</w:t>
      </w:r>
    </w:p>
    <w:p>
      <w:pPr>
        <w:spacing w:after="100" w:line="312"/>
        <w:ind w:firstLine="709"/>
        <w:jc w:val="both"/>
      </w:pPr>
      <w:r>
        <w:rPr>
          <w:rFonts w:ascii="Times New Roman" w:hAnsi="Times New Roman"/>
          <w:color w:val="1A2332"/>
          <w:sz w:val="24"/>
          <w:szCs w:val="24"/>
        </w:rPr>
        <w:t xml:space="preserve">Шлюз опрашивает все теги с периодом 1 с по Modbus TCP, нормализует значения к инженерным единицам по масштабным коэффициентам и передаёт на сервер батчами с идемпотентной повторной доставкой (message_id). Актуаторы читаются как телеметрия — обратная связь позиции. При недоступности сервера телеметрия накапливается в локальном буфере SQLite и после восстановления соединения досылается полностью, без дублей и потери порядка.</w:t>
      </w:r>
    </w:p>
    <w:p>
      <w:pPr>
        <w:pStyle w:val="Heading2"/>
        <w:spacing w:after="120" w:before="280" w:line="312"/>
      </w:pPr>
      <w:r>
        <w:rPr>
          <w:rFonts w:ascii="Times New Roman" w:hAnsi="Times New Roman"/>
          <w:b/>
          <w:bCs/>
          <w:color w:val="0F172A"/>
          <w:sz w:val="28"/>
          <w:szCs w:val="28"/>
        </w:rPr>
        <w:t xml:space="preserve">5.2. Историк</w:t>
      </w:r>
    </w:p>
    <w:p>
      <w:pPr>
        <w:spacing w:after="100" w:line="312"/>
        <w:ind w:firstLine="709"/>
        <w:jc w:val="both"/>
      </w:pPr>
      <w:r>
        <w:rPr>
          <w:rFonts w:ascii="Times New Roman" w:hAnsi="Times New Roman"/>
          <w:color w:val="1A2332"/>
          <w:sz w:val="24"/>
          <w:szCs w:val="24"/>
        </w:rPr>
        <w:t xml:space="preserve">Хранение показаний — SQLite в режиме WAL (опционально PostgreSQL). Глубина хранения — не менее 30 суток при 35 тегах с частотой 1 Гц. Предоставляются мгновенные значения, агрегаты по интервалам и выгрузки CSV.</w:t>
      </w:r>
    </w:p>
    <w:p>
      <w:pPr>
        <w:pStyle w:val="Heading2"/>
        <w:spacing w:after="120" w:before="280" w:line="312"/>
      </w:pPr>
      <w:r>
        <w:rPr>
          <w:rFonts w:ascii="Times New Roman" w:hAnsi="Times New Roman"/>
          <w:b/>
          <w:bCs/>
          <w:color w:val="0F172A"/>
          <w:sz w:val="28"/>
          <w:szCs w:val="28"/>
        </w:rPr>
        <w:t xml:space="preserve">5.3. Металлургические расчёты</w:t>
      </w:r>
    </w:p>
    <w:p>
      <w:pPr>
        <w:spacing w:after="100" w:line="312"/>
        <w:ind w:firstLine="709"/>
        <w:jc w:val="both"/>
      </w:pPr>
      <w:r>
        <w:rPr>
          <w:rFonts w:ascii="Times New Roman" w:hAnsi="Times New Roman"/>
          <w:color w:val="1A2332"/>
          <w:sz w:val="24"/>
          <w:szCs w:val="24"/>
        </w:rPr>
        <w:t xml:space="preserve">Расчёты выполняются на сервере каждые 5 секунд; результаты публикуются как виртуальные теги calc_* (попадают в историк и тренды) и в сводке API. Каждый показатель содержит строку формулы и теги-источники (аудируемость расчёта). Эти расчёты представляют макромайн‑анализ (агрегированные показатели технологического процесса) и основаны на данных‑майнинге (data‑main) – обработке больших объёмов телеметрии для выявления закономерностей и оптимизации параметров обогащения.</w:t>
      </w:r>
    </w:p>
    <w:p>
      <w:pPr>
        <w:keepNext/>
        <w:spacing w:after="80" w:before="160" w:line="312"/>
      </w:pPr>
      <w:r>
        <w:rPr>
          <w:rFonts w:ascii="Times New Roman" w:hAnsi="Times New Roman"/>
          <w:b/>
          <w:bCs/>
          <w:color w:val="506070"/>
          <w:sz w:val="21"/>
          <w:szCs w:val="21"/>
        </w:rPr>
        <w:t xml:space="preserve">Таблица 4 — Основные расчётные показатели</w:t>
      </w:r>
    </w:p>
    <w:tbl>
      <w:tblPr>
        <w:tblW w:type="pct" w:w="100%"/>
        <w:tblBorders>
          <w:top w:val="single" w:color="9AA6B2" w:sz="4"/>
          <w:left w:val="none" w:color="FFFFFF" w:sz="0"/>
          <w:bottom w:val="single" w:color="9AA6B2" w:sz="4"/>
          <w:right w:val="none" w:color="FFFFFF" w:sz="0"/>
          <w:insideH w:val="single" w:color="D8DEE6" w:sz="2"/>
          <w:insideV w:val="none" w:color="FFFFFF" w:sz="0"/>
        </w:tblBorders>
      </w:tblPr>
      <w:tblGrid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32%"/>
            <w:shd w:fill="E8EEF5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/>
                <w:bCs/>
                <w:color w:val="0F172A"/>
                <w:sz w:val="20"/>
                <w:szCs w:val="20"/>
              </w:rPr>
              <w:t xml:space="preserve">Показатель</w:t>
            </w:r>
          </w:p>
        </w:tc>
        <w:tc>
          <w:tcPr>
            <w:tcW w:type="pct" w:w="42%"/>
            <w:shd w:fill="E8EEF5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/>
                <w:bCs/>
                <w:color w:val="0F172A"/>
                <w:sz w:val="20"/>
                <w:szCs w:val="20"/>
              </w:rPr>
              <w:t xml:space="preserve">Формула</w:t>
            </w:r>
          </w:p>
        </w:tc>
        <w:tc>
          <w:tcPr>
            <w:tcW w:type="pct" w:w="26%"/>
            <w:shd w:fill="E8EEF5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/>
                <w:bCs/>
                <w:color w:val="0F172A"/>
                <w:sz w:val="20"/>
                <w:szCs w:val="20"/>
              </w:rPr>
              <w:t xml:space="preserve">Норма/цель</w:t>
            </w:r>
          </w:p>
        </w:tc>
      </w:tr>
      <w:tr>
        <w:trPr>
          <w:cantSplit/>
        </w:trPr>
        <w:tc>
          <w:tcPr>
            <w:tcW w:type="pct" w:w="32%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 w:val="false"/>
                <w:bCs w:val="false"/>
                <w:color w:val="1A2332"/>
                <w:sz w:val="20"/>
                <w:szCs w:val="20"/>
              </w:rPr>
              <w:t xml:space="preserve">Извлечение Cu, ε</w:t>
            </w:r>
          </w:p>
        </w:tc>
        <w:tc>
          <w:tcPr>
            <w:tcW w:type="pct" w:w="42%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 w:val="false"/>
                <w:bCs w:val="false"/>
                <w:color w:val="1A2332"/>
                <w:sz w:val="20"/>
                <w:szCs w:val="20"/>
              </w:rPr>
              <w:t xml:space="preserve">ε = β(α−θ)/(α(β−θ))×100</w:t>
            </w:r>
          </w:p>
        </w:tc>
        <w:tc>
          <w:tcPr>
            <w:tcW w:type="pct" w:w="26%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 w:val="false"/>
                <w:bCs w:val="false"/>
                <w:color w:val="1A2332"/>
                <w:sz w:val="20"/>
                <w:szCs w:val="20"/>
              </w:rPr>
              <w:t xml:space="preserve">≥ 88 %</w:t>
            </w:r>
          </w:p>
        </w:tc>
      </w:tr>
      <w:tr>
        <w:trPr>
          <w:cantSplit/>
        </w:trPr>
        <w:tc>
          <w:tcPr>
            <w:tcW w:type="pct" w:w="32%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 w:val="false"/>
                <w:bCs w:val="false"/>
                <w:color w:val="1A2332"/>
                <w:sz w:val="20"/>
                <w:szCs w:val="20"/>
              </w:rPr>
              <w:t xml:space="preserve">Выход концентрата, γ</w:t>
            </w:r>
          </w:p>
        </w:tc>
        <w:tc>
          <w:tcPr>
            <w:tcW w:type="pct" w:w="42%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 w:val="false"/>
                <w:bCs w:val="false"/>
                <w:color w:val="1A2332"/>
                <w:sz w:val="20"/>
                <w:szCs w:val="20"/>
              </w:rPr>
              <w:t xml:space="preserve">γ = (α−θ)/(β−θ)×100</w:t>
            </w:r>
          </w:p>
        </w:tc>
        <w:tc>
          <w:tcPr>
            <w:tcW w:type="pct" w:w="26%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 w:val="false"/>
                <w:bCs w:val="false"/>
                <w:color w:val="1A2332"/>
                <w:sz w:val="20"/>
                <w:szCs w:val="20"/>
              </w:rPr>
              <w:t xml:space="preserve">по балансу</w:t>
            </w:r>
          </w:p>
        </w:tc>
      </w:tr>
      <w:tr>
        <w:trPr>
          <w:cantSplit/>
        </w:trPr>
        <w:tc>
          <w:tcPr>
            <w:tcW w:type="pct" w:w="32%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 w:val="false"/>
                <w:bCs w:val="false"/>
                <w:color w:val="1A2332"/>
                <w:sz w:val="20"/>
                <w:szCs w:val="20"/>
              </w:rPr>
              <w:t xml:space="preserve">Коэффициент обогащения, K</w:t>
            </w:r>
          </w:p>
        </w:tc>
        <w:tc>
          <w:tcPr>
            <w:tcW w:type="pct" w:w="42%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 w:val="false"/>
                <w:bCs w:val="false"/>
                <w:color w:val="1A2332"/>
                <w:sz w:val="20"/>
                <w:szCs w:val="20"/>
              </w:rPr>
              <w:t xml:space="preserve">K = β/α</w:t>
            </w:r>
          </w:p>
        </w:tc>
        <w:tc>
          <w:tcPr>
            <w:tcW w:type="pct" w:w="26%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 w:val="false"/>
                <w:bCs w:val="false"/>
                <w:color w:val="1A2332"/>
                <w:sz w:val="20"/>
                <w:szCs w:val="20"/>
              </w:rPr>
              <w:t xml:space="preserve">—</w:t>
            </w:r>
          </w:p>
        </w:tc>
      </w:tr>
      <w:tr>
        <w:trPr>
          <w:cantSplit/>
        </w:trPr>
        <w:tc>
          <w:tcPr>
            <w:tcW w:type="pct" w:w="32%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 w:val="false"/>
                <w:bCs w:val="false"/>
                <w:color w:val="1A2332"/>
                <w:sz w:val="20"/>
                <w:szCs w:val="20"/>
              </w:rPr>
              <w:t xml:space="preserve">Съём концентрата (mass pull)</w:t>
            </w:r>
          </w:p>
        </w:tc>
        <w:tc>
          <w:tcPr>
            <w:tcW w:type="pct" w:w="42%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 w:val="false"/>
                <w:bCs w:val="false"/>
                <w:color w:val="1A2332"/>
                <w:sz w:val="20"/>
                <w:szCs w:val="20"/>
              </w:rPr>
              <w:t xml:space="preserve">P = wi301/fi101×100</w:t>
            </w:r>
          </w:p>
        </w:tc>
        <w:tc>
          <w:tcPr>
            <w:tcW w:type="pct" w:w="26%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 w:val="false"/>
                <w:bCs w:val="false"/>
                <w:color w:val="1A2332"/>
                <w:sz w:val="20"/>
                <w:szCs w:val="20"/>
              </w:rPr>
              <w:t xml:space="preserve">—</w:t>
            </w:r>
          </w:p>
        </w:tc>
      </w:tr>
      <w:tr>
        <w:trPr>
          <w:cantSplit/>
        </w:trPr>
        <w:tc>
          <w:tcPr>
            <w:tcW w:type="pct" w:w="32%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 w:val="false"/>
                <w:bCs w:val="false"/>
                <w:color w:val="1A2332"/>
                <w:sz w:val="20"/>
                <w:szCs w:val="20"/>
              </w:rPr>
              <w:t xml:space="preserve">Невязка массового баланса</w:t>
            </w:r>
          </w:p>
        </w:tc>
        <w:tc>
          <w:tcPr>
            <w:tcW w:type="pct" w:w="42%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 w:val="false"/>
                <w:bCs w:val="false"/>
                <w:color w:val="1A2332"/>
                <w:sz w:val="20"/>
                <w:szCs w:val="20"/>
              </w:rPr>
              <w:t xml:space="preserve">err = (Qпит − Qконц − Qхв)/Qпит×100</w:t>
            </w:r>
          </w:p>
        </w:tc>
        <w:tc>
          <w:tcPr>
            <w:tcW w:type="pct" w:w="26%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 w:val="false"/>
                <w:bCs w:val="false"/>
                <w:color w:val="1A2332"/>
                <w:sz w:val="20"/>
                <w:szCs w:val="20"/>
              </w:rPr>
              <w:t xml:space="preserve">≤ ±1 %</w:t>
            </w:r>
          </w:p>
        </w:tc>
      </w:tr>
      <w:tr>
        <w:trPr>
          <w:cantSplit/>
        </w:trPr>
        <w:tc>
          <w:tcPr>
            <w:tcW w:type="pct" w:w="32%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 w:val="false"/>
                <w:bCs w:val="false"/>
                <w:color w:val="1A2332"/>
                <w:sz w:val="20"/>
                <w:szCs w:val="20"/>
              </w:rPr>
              <w:t xml:space="preserve">Сходимость извлечений</w:t>
            </w:r>
          </w:p>
        </w:tc>
        <w:tc>
          <w:tcPr>
            <w:tcW w:type="pct" w:w="42%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 w:val="false"/>
                <w:bCs w:val="false"/>
                <w:color w:val="1A2332"/>
                <w:sz w:val="20"/>
                <w:szCs w:val="20"/>
              </w:rPr>
              <w:t xml:space="preserve">δ = (εдвухпрод − εмасс)/εдвухпрод×100</w:t>
            </w:r>
          </w:p>
        </w:tc>
        <w:tc>
          <w:tcPr>
            <w:tcW w:type="pct" w:w="26%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 w:val="false"/>
                <w:bCs w:val="false"/>
                <w:color w:val="1A2332"/>
                <w:sz w:val="20"/>
                <w:szCs w:val="20"/>
              </w:rPr>
              <w:t xml:space="preserve">≤ 5 % отн.</w:t>
            </w:r>
          </w:p>
        </w:tc>
      </w:tr>
      <w:tr>
        <w:trPr>
          <w:cantSplit/>
        </w:trPr>
        <w:tc>
          <w:tcPr>
            <w:tcW w:type="pct" w:w="32%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 w:val="false"/>
                <w:bCs w:val="false"/>
                <w:color w:val="1A2332"/>
                <w:sz w:val="20"/>
                <w:szCs w:val="20"/>
              </w:rPr>
              <w:t xml:space="preserve">Удельная энергия по Бонду</w:t>
            </w:r>
          </w:p>
        </w:tc>
        <w:tc>
          <w:tcPr>
            <w:tcW w:type="pct" w:w="42%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 w:val="false"/>
                <w:bCs w:val="false"/>
                <w:color w:val="1A2332"/>
                <w:sz w:val="20"/>
                <w:szCs w:val="20"/>
              </w:rPr>
              <w:t xml:space="preserve">W = 10×Wi×(1/√P80 − 1/√F80)</w:t>
            </w:r>
          </w:p>
        </w:tc>
        <w:tc>
          <w:tcPr>
            <w:tcW w:type="pct" w:w="26%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 w:val="false"/>
                <w:bCs w:val="false"/>
                <w:color w:val="1A2332"/>
                <w:sz w:val="20"/>
                <w:szCs w:val="20"/>
              </w:rPr>
              <w:t xml:space="preserve">≈ 10,0 кВт·ч/т</w:t>
            </w:r>
          </w:p>
        </w:tc>
      </w:tr>
      <w:tr>
        <w:trPr>
          <w:cantSplit/>
        </w:trPr>
        <w:tc>
          <w:tcPr>
            <w:tcW w:type="pct" w:w="32%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 w:val="false"/>
                <w:bCs w:val="false"/>
                <w:color w:val="1A2332"/>
                <w:sz w:val="20"/>
                <w:szCs w:val="20"/>
              </w:rPr>
              <w:t xml:space="preserve">Энергетический КПД мельницы</w:t>
            </w:r>
          </w:p>
        </w:tc>
        <w:tc>
          <w:tcPr>
            <w:tcW w:type="pct" w:w="42%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 w:val="false"/>
                <w:bCs w:val="false"/>
                <w:color w:val="1A2332"/>
                <w:sz w:val="20"/>
                <w:szCs w:val="20"/>
              </w:rPr>
              <w:t xml:space="preserve">η = W×Qруда/EI×100</w:t>
            </w:r>
          </w:p>
        </w:tc>
        <w:tc>
          <w:tcPr>
            <w:tcW w:type="pct" w:w="26%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 w:val="false"/>
                <w:bCs w:val="false"/>
                <w:color w:val="1A2332"/>
                <w:sz w:val="20"/>
                <w:szCs w:val="20"/>
              </w:rPr>
              <w:t xml:space="preserve">≈ 80 %</w:t>
            </w:r>
          </w:p>
        </w:tc>
      </w:tr>
      <w:tr>
        <w:trPr>
          <w:cantSplit/>
        </w:trPr>
        <w:tc>
          <w:tcPr>
            <w:tcW w:type="pct" w:w="32%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 w:val="false"/>
                <w:bCs w:val="false"/>
                <w:color w:val="1A2332"/>
                <w:sz w:val="20"/>
                <w:szCs w:val="20"/>
              </w:rPr>
              <w:t xml:space="preserve">Циркулирующая нагрузка</w:t>
            </w:r>
          </w:p>
        </w:tc>
        <w:tc>
          <w:tcPr>
            <w:tcW w:type="pct" w:w="42%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 w:val="false"/>
                <w:bCs w:val="false"/>
                <w:color w:val="1A2332"/>
                <w:sz w:val="20"/>
                <w:szCs w:val="20"/>
              </w:rPr>
              <w:t xml:space="preserve">CL = (Qцикл/Qсвеж)×100 − 100</w:t>
            </w:r>
          </w:p>
        </w:tc>
        <w:tc>
          <w:tcPr>
            <w:tcW w:type="pct" w:w="26%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 w:val="false"/>
                <w:bCs w:val="false"/>
                <w:color w:val="1A2332"/>
                <w:sz w:val="20"/>
                <w:szCs w:val="20"/>
              </w:rPr>
              <w:t xml:space="preserve">≈ 250 %</w:t>
            </w:r>
          </w:p>
        </w:tc>
      </w:tr>
      <w:tr>
        <w:trPr>
          <w:cantSplit/>
        </w:trPr>
        <w:tc>
          <w:tcPr>
            <w:tcW w:type="pct" w:w="32%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 w:val="false"/>
                <w:bCs w:val="false"/>
                <w:color w:val="1A2332"/>
                <w:sz w:val="20"/>
                <w:szCs w:val="20"/>
              </w:rPr>
              <w:t xml:space="preserve">Удельный расход собирателя</w:t>
            </w:r>
          </w:p>
        </w:tc>
        <w:tc>
          <w:tcPr>
            <w:tcW w:type="pct" w:w="42%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 w:val="false"/>
                <w:bCs w:val="false"/>
                <w:color w:val="1A2332"/>
                <w:sz w:val="20"/>
                <w:szCs w:val="20"/>
              </w:rPr>
              <w:t xml:space="preserve">q = Qсоб×60/Qруда</w:t>
            </w:r>
          </w:p>
        </w:tc>
        <w:tc>
          <w:tcPr>
            <w:tcW w:type="pct" w:w="26%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 w:val="false"/>
                <w:bCs w:val="false"/>
                <w:color w:val="1A2332"/>
                <w:sz w:val="20"/>
                <w:szCs w:val="20"/>
              </w:rPr>
              <w:t xml:space="preserve">≈ 108 мл/т</w:t>
            </w:r>
          </w:p>
        </w:tc>
      </w:tr>
    </w:tbl>
    <w:p>
      <w:pPr>
        <w:spacing w:after="100" w:line="312"/>
        <w:ind w:firstLine="709"/>
        <w:jc w:val="both"/>
      </w:pPr>
      <w:r>
        <w:rPr>
          <w:rFonts w:ascii="Times New Roman" w:hAnsi="Times New Roman"/>
          <w:color w:val="1A2332"/>
          <w:sz w:val="24"/>
          <w:szCs w:val="24"/>
        </w:rPr>
        <w:t xml:space="preserve">Превышение нормы невязки или расхождение извлечений переводит сводку в статус «предупреждение» с пояснением «данные несогласованы: проверь XRF/весы» — встроенный детектор недостоверных данных.</w:t>
      </w:r>
    </w:p>
    <w:p>
      <w:pPr>
        <w:pStyle w:val="Heading2"/>
        <w:spacing w:after="120" w:before="280" w:line="312"/>
      </w:pPr>
      <w:r>
        <w:rPr>
          <w:rFonts w:ascii="Times New Roman" w:hAnsi="Times New Roman"/>
          <w:b/>
          <w:bCs/>
          <w:color w:val="0F172A"/>
          <w:sz w:val="28"/>
          <w:szCs w:val="28"/>
        </w:rPr>
        <w:t xml:space="preserve">5.4. Супервизорное управление</w:t>
      </w:r>
    </w:p>
    <w:p>
      <w:pPr>
        <w:spacing w:after="100" w:line="312"/>
        <w:ind w:firstLine="709"/>
        <w:jc w:val="both"/>
      </w:pPr>
      <w:r>
        <w:rPr>
          <w:rFonts w:ascii="Times New Roman" w:hAnsi="Times New Roman"/>
          <w:color w:val="1A2332"/>
          <w:sz w:val="24"/>
          <w:szCs w:val="24"/>
        </w:rPr>
        <w:t xml:space="preserve">Три ПИД-петли выполняются на сервере capd, внешних ПЛК или ESP32 через Modbus FC6. Запись в станцию выполняет только FC6-мост шлюза: каждую секунду он опрашивает сервер и пишет значение актуатора методом FC6 исключительно в режиме АВТО. При недоступности сервера мост удерживает последние значения (актуаторы не сбрасываются в ноль — принцип безопасности по IEC 61511). Начальное состояние каналов — «удержание»: стенд/станция живут собственными значениями.</w:t>
      </w:r>
    </w:p>
    <w:p>
      <w:pPr>
        <w:keepNext/>
        <w:spacing w:after="80" w:before="160" w:line="312"/>
      </w:pPr>
      <w:r>
        <w:rPr>
          <w:rFonts w:ascii="Times New Roman" w:hAnsi="Times New Roman"/>
          <w:b/>
          <w:bCs/>
          <w:color w:val="506070"/>
          <w:sz w:val="21"/>
          <w:szCs w:val="21"/>
        </w:rPr>
        <w:t xml:space="preserve">Таблица 5 — Параметры контуров управления</w:t>
      </w:r>
    </w:p>
    <w:tbl>
      <w:tblPr>
        <w:tblW w:type="pct" w:w="100%"/>
        <w:tblBorders>
          <w:top w:val="single" w:color="9AA6B2" w:sz="4"/>
          <w:left w:val="none" w:color="FFFFFF" w:sz="0"/>
          <w:bottom w:val="single" w:color="9AA6B2" w:sz="4"/>
          <w:right w:val="none" w:color="FFFFFF" w:sz="0"/>
          <w:insideH w:val="single" w:color="D8DEE6" w:sz="2"/>
          <w:insideV w:val="none" w:color="FFFFFF" w:sz="0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12%"/>
            <w:shd w:fill="E8EEF5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/>
                <w:bCs/>
                <w:color w:val="0F172A"/>
                <w:sz w:val="20"/>
                <w:szCs w:val="20"/>
              </w:rPr>
              <w:t xml:space="preserve">Контур</w:t>
            </w:r>
          </w:p>
        </w:tc>
        <w:tc>
          <w:tcPr>
            <w:tcW w:type="pct" w:w="34%"/>
            <w:shd w:fill="E8EEF5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/>
                <w:bCs/>
                <w:color w:val="0F172A"/>
                <w:sz w:val="20"/>
                <w:szCs w:val="20"/>
              </w:rPr>
              <w:t xml:space="preserve">Регулируемая величина</w:t>
            </w:r>
          </w:p>
        </w:tc>
        <w:tc>
          <w:tcPr>
            <w:tcW w:type="pct" w:w="24%"/>
            <w:shd w:fill="E8EEF5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/>
                <w:bCs/>
                <w:color w:val="0F172A"/>
                <w:sz w:val="20"/>
                <w:szCs w:val="20"/>
              </w:rPr>
              <w:t xml:space="preserve">Воздействие</w:t>
            </w:r>
          </w:p>
        </w:tc>
        <w:tc>
          <w:tcPr>
            <w:tcW w:type="pct" w:w="10%"/>
            <w:shd w:fill="E8EEF5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/>
                <w:bCs/>
                <w:color w:val="0F172A"/>
                <w:sz w:val="20"/>
                <w:szCs w:val="20"/>
              </w:rPr>
              <w:t xml:space="preserve">SP ном.</w:t>
            </w:r>
          </w:p>
        </w:tc>
        <w:tc>
          <w:tcPr>
            <w:tcW w:type="pct" w:w="10%"/>
            <w:shd w:fill="E8EEF5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/>
                <w:bCs/>
                <w:color w:val="0F172A"/>
                <w:sz w:val="20"/>
                <w:szCs w:val="20"/>
              </w:rPr>
              <w:t xml:space="preserve">Диапазон SP</w:t>
            </w:r>
          </w:p>
        </w:tc>
        <w:tc>
          <w:tcPr>
            <w:tcW w:type="pct" w:w="10%"/>
            <w:shd w:fill="E8EEF5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/>
                <w:bCs/>
                <w:color w:val="0F172A"/>
                <w:sz w:val="20"/>
                <w:szCs w:val="20"/>
              </w:rPr>
              <w:t xml:space="preserve">Kp / Ki</w:t>
            </w:r>
          </w:p>
        </w:tc>
      </w:tr>
      <w:tr>
        <w:trPr>
          <w:cantSplit/>
        </w:trPr>
        <w:tc>
          <w:tcPr>
            <w:tcW w:type="pct" w:w="12%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 w:val="false"/>
                <w:bCs w:val="false"/>
                <w:color w:val="1A2332"/>
                <w:sz w:val="20"/>
                <w:szCs w:val="20"/>
              </w:rPr>
              <w:t xml:space="preserve">lic301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 w:val="false"/>
                <w:bCs w:val="false"/>
                <w:color w:val="1A2332"/>
                <w:sz w:val="20"/>
                <w:szCs w:val="20"/>
              </w:rPr>
              <w:t xml:space="preserve">Уровень пульпы флотомашины (li301, мм)</w:t>
            </w:r>
          </w:p>
        </w:tc>
        <w:tc>
          <w:tcPr>
            <w:tcW w:type="pct" w:w="24%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 w:val="false"/>
                <w:bCs w:val="false"/>
                <w:color w:val="1A2332"/>
                <w:sz w:val="20"/>
                <w:szCs w:val="20"/>
              </w:rPr>
              <w:t xml:space="preserve">Хвостовая задвижка lc301, %</w:t>
            </w:r>
          </w:p>
        </w:tc>
        <w:tc>
          <w:tcPr>
            <w:tcW w:type="pct" w:w="10%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 w:val="false"/>
                <w:bCs w:val="false"/>
                <w:color w:val="1A2332"/>
                <w:sz w:val="20"/>
                <w:szCs w:val="20"/>
              </w:rPr>
              <w:t xml:space="preserve">500</w:t>
            </w:r>
          </w:p>
        </w:tc>
        <w:tc>
          <w:tcPr>
            <w:tcW w:type="pct" w:w="10%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 w:val="false"/>
                <w:bCs w:val="false"/>
                <w:color w:val="1A2332"/>
                <w:sz w:val="20"/>
                <w:szCs w:val="20"/>
              </w:rPr>
              <w:t xml:space="preserve">450–650</w:t>
            </w:r>
          </w:p>
        </w:tc>
        <w:tc>
          <w:tcPr>
            <w:tcW w:type="pct" w:w="10%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 w:val="false"/>
                <w:bCs w:val="false"/>
                <w:color w:val="1A2332"/>
                <w:sz w:val="20"/>
                <w:szCs w:val="20"/>
              </w:rPr>
              <w:t xml:space="preserve">−0,06 / −0,02</w:t>
            </w:r>
          </w:p>
        </w:tc>
      </w:tr>
      <w:tr>
        <w:trPr>
          <w:cantSplit/>
        </w:trPr>
        <w:tc>
          <w:tcPr>
            <w:tcW w:type="pct" w:w="12%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 w:val="false"/>
                <w:bCs w:val="false"/>
                <w:color w:val="1A2332"/>
                <w:sz w:val="20"/>
                <w:szCs w:val="20"/>
              </w:rPr>
              <w:t xml:space="preserve">fic301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 w:val="false"/>
                <w:bCs w:val="false"/>
                <w:color w:val="1A2332"/>
                <w:sz w:val="20"/>
                <w:szCs w:val="20"/>
              </w:rPr>
              <w:t xml:space="preserve">Удельный расход собирателя (qi301×60/fi101, мл/т)</w:t>
            </w:r>
          </w:p>
        </w:tc>
        <w:tc>
          <w:tcPr>
            <w:tcW w:type="pct" w:w="24%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 w:val="false"/>
                <w:bCs w:val="false"/>
                <w:color w:val="1A2332"/>
                <w:sz w:val="20"/>
                <w:szCs w:val="20"/>
              </w:rPr>
              <w:t xml:space="preserve">Задание насоса fc301, мл/мин</w:t>
            </w:r>
          </w:p>
        </w:tc>
        <w:tc>
          <w:tcPr>
            <w:tcW w:type="pct" w:w="10%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 w:val="false"/>
                <w:bCs w:val="false"/>
                <w:color w:val="1A2332"/>
                <w:sz w:val="20"/>
                <w:szCs w:val="20"/>
              </w:rPr>
              <w:t xml:space="preserve">108</w:t>
            </w:r>
          </w:p>
        </w:tc>
        <w:tc>
          <w:tcPr>
            <w:tcW w:type="pct" w:w="10%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 w:val="false"/>
                <w:bCs w:val="false"/>
                <w:color w:val="1A2332"/>
                <w:sz w:val="20"/>
                <w:szCs w:val="20"/>
              </w:rPr>
              <w:t xml:space="preserve">30–300</w:t>
            </w:r>
          </w:p>
        </w:tc>
        <w:tc>
          <w:tcPr>
            <w:tcW w:type="pct" w:w="10%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 w:val="false"/>
                <w:bCs w:val="false"/>
                <w:color w:val="1A2332"/>
                <w:sz w:val="20"/>
                <w:szCs w:val="20"/>
              </w:rPr>
              <w:t xml:space="preserve">−1,2 / −0,4</w:t>
            </w:r>
          </w:p>
        </w:tc>
      </w:tr>
      <w:tr>
        <w:trPr>
          <w:cantSplit/>
        </w:trPr>
        <w:tc>
          <w:tcPr>
            <w:tcW w:type="pct" w:w="12%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 w:val="false"/>
                <w:bCs w:val="false"/>
                <w:color w:val="1A2332"/>
                <w:sz w:val="20"/>
                <w:szCs w:val="20"/>
              </w:rPr>
              <w:t xml:space="preserve">dic401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 w:val="false"/>
                <w:bCs w:val="false"/>
                <w:color w:val="1A2332"/>
                <w:sz w:val="20"/>
                <w:szCs w:val="20"/>
              </w:rPr>
              <w:t xml:space="preserve">Плотность сгущённого продукта (di401, % тв.)</w:t>
            </w:r>
          </w:p>
        </w:tc>
        <w:tc>
          <w:tcPr>
            <w:tcW w:type="pct" w:w="24%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 w:val="false"/>
                <w:bCs w:val="false"/>
                <w:color w:val="1A2332"/>
                <w:sz w:val="20"/>
                <w:szCs w:val="20"/>
              </w:rPr>
              <w:t xml:space="preserve">Насос разгрузки fc401, %</w:t>
            </w:r>
          </w:p>
        </w:tc>
        <w:tc>
          <w:tcPr>
            <w:tcW w:type="pct" w:w="10%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 w:val="false"/>
                <w:bCs w:val="false"/>
                <w:color w:val="1A2332"/>
                <w:sz w:val="20"/>
                <w:szCs w:val="20"/>
              </w:rPr>
              <w:t xml:space="preserve">45</w:t>
            </w:r>
          </w:p>
        </w:tc>
        <w:tc>
          <w:tcPr>
            <w:tcW w:type="pct" w:w="10%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 w:val="false"/>
                <w:bCs w:val="false"/>
                <w:color w:val="1A2332"/>
                <w:sz w:val="20"/>
                <w:szCs w:val="20"/>
              </w:rPr>
              <w:t xml:space="preserve">40–55</w:t>
            </w:r>
          </w:p>
        </w:tc>
        <w:tc>
          <w:tcPr>
            <w:tcW w:type="pct" w:w="10%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 w:val="false"/>
                <w:bCs w:val="false"/>
                <w:color w:val="1A2332"/>
                <w:sz w:val="20"/>
                <w:szCs w:val="20"/>
              </w:rPr>
              <w:t xml:space="preserve">−2,5 / −0,8</w:t>
            </w:r>
          </w:p>
        </w:tc>
      </w:tr>
    </w:tbl>
    <w:p>
      <w:pPr>
        <w:pStyle w:val="ListParagraph"/>
        <w:numPr>
          <w:ilvl w:val="0"/>
          <w:numId w:val="1"/>
        </w:numPr>
        <w:spacing w:after="60" w:line="312"/>
        <w:jc w:val="both"/>
      </w:pPr>
      <w:r>
        <w:rPr>
          <w:rFonts w:ascii="Times New Roman" w:hAnsi="Times New Roman"/>
          <w:color w:val="1A2332"/>
          <w:sz w:val="24"/>
          <w:szCs w:val="24"/>
        </w:rPr>
        <w:t xml:space="preserve">Режимы: АВТО (ПИД активен) и РУЧН (выход задаётся оператором); смена режима и запись уставок — только с подтверждением и правом control.write, фиксируется в аудите.</w:t>
      </w:r>
    </w:p>
    <w:p>
      <w:pPr>
        <w:pStyle w:val="ListParagraph"/>
        <w:numPr>
          <w:ilvl w:val="0"/>
          <w:numId w:val="1"/>
        </w:numPr>
        <w:spacing w:after="60" w:line="312"/>
        <w:jc w:val="both"/>
      </w:pPr>
      <w:r>
        <w:rPr>
          <w:rFonts w:ascii="Times New Roman" w:hAnsi="Times New Roman"/>
          <w:color w:val="1A2332"/>
          <w:sz w:val="24"/>
          <w:szCs w:val="24"/>
        </w:rPr>
        <w:t xml:space="preserve">Безбамперный переход: при переводе в АВТО интеграл инициализируется от фактической позиции актуатора.</w:t>
      </w:r>
    </w:p>
    <w:p>
      <w:pPr>
        <w:pStyle w:val="ListParagraph"/>
        <w:numPr>
          <w:ilvl w:val="0"/>
          <w:numId w:val="1"/>
        </w:numPr>
        <w:spacing w:after="60" w:line="312"/>
        <w:jc w:val="both"/>
      </w:pPr>
      <w:r>
        <w:rPr>
          <w:rFonts w:ascii="Times New Roman" w:hAnsi="Times New Roman"/>
          <w:color w:val="1A2332"/>
          <w:sz w:val="24"/>
          <w:szCs w:val="24"/>
        </w:rPr>
        <w:t xml:space="preserve">Watchdog: при отсутствии достоверного PV дольше 10 секунд контур принудительно переводится в РУЧН, выход замораживается, формируется тревога control_fault.</w:t>
      </w:r>
    </w:p>
    <w:p>
      <w:pPr>
        <w:pStyle w:val="ListParagraph"/>
        <w:numPr>
          <w:ilvl w:val="0"/>
          <w:numId w:val="1"/>
        </w:numPr>
        <w:spacing w:after="60" w:line="312"/>
        <w:jc w:val="both"/>
      </w:pPr>
      <w:r>
        <w:rPr>
          <w:rFonts w:ascii="Times New Roman" w:hAnsi="Times New Roman"/>
          <w:color w:val="1A2332"/>
          <w:sz w:val="24"/>
          <w:szCs w:val="24"/>
        </w:rPr>
        <w:t xml:space="preserve">Ручные актуаторы вне контуров (задание питателя, клапан воды мельницы, насос вспенивателя, время цикла фильтра) — разовая запись с подтверждением, аудируется.</w:t>
      </w:r>
    </w:p>
    <w:p>
      <w:pPr>
        <w:pStyle w:val="Heading2"/>
        <w:spacing w:after="120" w:before="280" w:line="312"/>
      </w:pPr>
      <w:r>
        <w:rPr>
          <w:rFonts w:ascii="Times New Roman" w:hAnsi="Times New Roman"/>
          <w:b/>
          <w:bCs/>
          <w:color w:val="0F172A"/>
          <w:sz w:val="28"/>
          <w:szCs w:val="28"/>
        </w:rPr>
        <w:t xml:space="preserve">5.4.1. Автоматическое регулирование без вмешательства оператора</w:t>
      </w:r>
    </w:p>
    <w:p>
      <w:pPr>
        <w:spacing w:after="100" w:line="312"/>
        <w:ind w:firstLine="709"/>
        <w:jc w:val="both"/>
      </w:pPr>
      <w:r>
        <w:rPr>
          <w:rFonts w:ascii="Times New Roman" w:hAnsi="Times New Roman"/>
          <w:color w:val="1A2332"/>
          <w:sz w:val="24"/>
          <w:szCs w:val="24"/>
        </w:rPr>
        <w:t xml:space="preserve">Контуры ПИД работают в полностью автоматическом режиме: при отклонении измеряемой величины (PV) от уставки (SP) алгоритм рассчитывает необходимую корректирующую величину (MV) и передаёт её в станцию через FC6 без участия оператора. Пример: поддержание pH пульпы в диапазоне 10,0–10,5 осуществляется контуром, который регулирует подачу раствора щёлочи или кислоты в зависимости от текущего pH.</w:t>
      </w:r>
    </w:p>
    <w:p>
      <w:pPr>
        <w:spacing w:after="100" w:line="312"/>
        <w:ind w:firstLine="709"/>
        <w:jc w:val="both"/>
      </w:pPr>
      <w:r>
        <w:rPr>
          <w:rFonts w:ascii="Times New Roman" w:hAnsi="Times New Roman"/>
          <w:color w:val="1A2332"/>
          <w:sz w:val="24"/>
          <w:szCs w:val="24"/>
        </w:rPr>
        <w:t xml:space="preserve">Для повышения качества регулирования реализованы адаптивные настройки коэффициентов Kp и Ki в зависимости от динамики процесса (gain scheduling). При изменении производительности питателя или свойств руды коэффициенты автоматически корректируются, обеспечивая стабильное управление при широком диапазоне рабочих условий.</w:t>
      </w:r>
    </w:p>
    <w:p>
      <w:pPr>
        <w:spacing w:after="100" w:line="312"/>
        <w:ind w:firstLine="709"/>
        <w:jc w:val="both"/>
      </w:pPr>
      <w:r>
        <w:rPr>
          <w:rFonts w:ascii="Times New Roman" w:hAnsi="Times New Roman"/>
          <w:color w:val="1A2332"/>
          <w:sz w:val="24"/>
          <w:szCs w:val="24"/>
        </w:rPr>
        <w:t xml:space="preserve">Анти‑windup защита предотвращает накопление интегральной составляющей при насыщении актуатора, а безбамперный переход в АВТО инициализирует интеграл от фактической позиции, исключая скачки при переключении режимов.</w:t>
      </w:r>
    </w:p>
    <w:p>
      <w:pPr>
        <w:pStyle w:val="Heading2"/>
        <w:spacing w:after="120" w:before="280" w:line="312"/>
      </w:pPr>
      <w:r>
        <w:rPr>
          <w:rFonts w:ascii="Times New Roman" w:hAnsi="Times New Roman"/>
          <w:b/>
          <w:bCs/>
          <w:color w:val="0F172A"/>
          <w:sz w:val="28"/>
          <w:szCs w:val="28"/>
        </w:rPr>
        <w:t xml:space="preserve">5.5. Тревоги (ISA-18.2)</w:t>
      </w:r>
    </w:p>
    <w:p>
      <w:pPr>
        <w:spacing w:after="100" w:line="312"/>
        <w:ind w:firstLine="709"/>
        <w:jc w:val="both"/>
      </w:pPr>
      <w:r>
        <w:rPr>
          <w:rFonts w:ascii="Times New Roman" w:hAnsi="Times New Roman"/>
          <w:color w:val="1A2332"/>
          <w:sz w:val="24"/>
          <w:szCs w:val="24"/>
        </w:rPr>
        <w:t xml:space="preserve">Оценка пределов выполняется на сервере на каждом значении телеметрии. Приоритеты рационализированы; задержка срабатывания 3 с для критических и 10 с для остальных, гистерезис 1 % шкалы. Журнал alarm_events неизменяем и содержит события «сработала/сброшена/квитирована». Квитирование выполняется от имени оператора из сессии. При потере достоверных данных по активу более 10 с формируется тревога comm_loss.</w:t>
      </w:r>
    </w:p>
    <w:p>
      <w:pPr>
        <w:pStyle w:val="Heading2"/>
        <w:spacing w:after="120" w:before="280" w:line="312"/>
      </w:pPr>
      <w:r>
        <w:rPr>
          <w:rFonts w:ascii="Times New Roman" w:hAnsi="Times New Roman"/>
          <w:b/>
          <w:bCs/>
          <w:color w:val="0F172A"/>
          <w:sz w:val="28"/>
          <w:szCs w:val="28"/>
        </w:rPr>
        <w:t xml:space="preserve">5.6. Web-HMI</w:t>
      </w:r>
    </w:p>
    <w:p>
      <w:pPr>
        <w:spacing w:after="100" w:line="312"/>
        <w:ind w:firstLine="709"/>
        <w:jc w:val="both"/>
      </w:pPr>
      <w:r>
        <w:rPr>
          <w:rFonts w:ascii="Times New Roman" w:hAnsi="Times New Roman"/>
          <w:color w:val="1A2332"/>
          <w:sz w:val="24"/>
          <w:szCs w:val="24"/>
        </w:rPr>
        <w:t xml:space="preserve">Интерфейс на русском языке, восемь страниц: мнемосхема (главная), тренды, металлургия, управление, тревоги, профили руды, администрирование, вход. Реализованы паспорт объекта (faceplate) по клику на узел мнемосхемы, тренды с таблицей перьев и диапазонами 15 мин — 24 ч, светлая и тёмная темы, системные шрифты (работа без внешней сети), tabular-nums для значений. Один WebSocket-канал на приложение; команды управления — только через REST с подтверждением.</w:t>
      </w:r>
    </w:p>
    <w:p>
      <w:pPr>
        <w:pStyle w:val="Heading1"/>
        <w:spacing w:after="160" w:before="400" w:line="312"/>
      </w:pPr>
      <w:r>
        <w:rPr>
          <w:rFonts w:ascii="Times New Roman" w:hAnsi="Times New Roman"/>
          <w:b/>
          <w:bCs/>
          <w:color w:val="0F172A"/>
          <w:sz w:val="32"/>
          <w:szCs w:val="32"/>
        </w:rPr>
        <w:t xml:space="preserve">6. Входы, выходы и карта регистров</w:t>
      </w:r>
    </w:p>
    <w:p>
      <w:pPr>
        <w:spacing w:after="100" w:line="312"/>
        <w:ind w:firstLine="709"/>
        <w:jc w:val="both"/>
      </w:pPr>
      <w:r>
        <w:rPr>
          <w:rFonts w:ascii="Times New Roman" w:hAnsi="Times New Roman"/>
          <w:color w:val="1A2332"/>
          <w:sz w:val="24"/>
          <w:szCs w:val="24"/>
        </w:rPr>
        <w:t xml:space="preserve">Подключение: Modbus TCP, сервер стенда/контроллер, unit-id 1. Значения — int16 big-endian с масштабным коэффициентом. Всего 43 тега: 28 датчиков (входные), 7 актуаторов (выходные) и 8 расчётных виртуальных тегов.</w:t>
      </w:r>
    </w:p>
    <w:p>
      <w:pPr>
        <w:pStyle w:val="Heading2"/>
        <w:spacing w:after="120" w:before="280" w:line="312"/>
      </w:pPr>
      <w:r>
        <w:rPr>
          <w:rFonts w:ascii="Times New Roman" w:hAnsi="Times New Roman"/>
          <w:b/>
          <w:bCs/>
          <w:color w:val="0F172A"/>
          <w:sz w:val="28"/>
          <w:szCs w:val="28"/>
        </w:rPr>
        <w:t xml:space="preserve">6.1. Датчики (Input Registers, FC4)</w:t>
      </w:r>
    </w:p>
    <w:p>
      <w:pPr>
        <w:keepNext/>
        <w:spacing w:after="80" w:before="160" w:line="312"/>
      </w:pPr>
      <w:r>
        <w:rPr>
          <w:rFonts w:ascii="Times New Roman" w:hAnsi="Times New Roman"/>
          <w:b/>
          <w:bCs/>
          <w:color w:val="506070"/>
          <w:sz w:val="21"/>
          <w:szCs w:val="21"/>
        </w:rPr>
        <w:t xml:space="preserve">Таблица 6 — Карта входных регистров</w:t>
      </w:r>
    </w:p>
    <w:tbl>
      <w:tblPr>
        <w:tblW w:type="pct" w:w="100%"/>
        <w:tblBorders>
          <w:top w:val="single" w:color="9AA6B2" w:sz="4"/>
          <w:left w:val="none" w:color="FFFFFF" w:sz="0"/>
          <w:bottom w:val="single" w:color="9AA6B2" w:sz="4"/>
          <w:right w:val="none" w:color="FFFFFF" w:sz="0"/>
          <w:insideH w:val="single" w:color="D8DEE6" w:sz="2"/>
          <w:insideV w:val="none" w:color="FFFFFF" w:sz="0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10%"/>
            <w:shd w:fill="E8EEF5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/>
                <w:bCs/>
                <w:color w:val="0F172A"/>
                <w:sz w:val="20"/>
                <w:szCs w:val="20"/>
              </w:rPr>
              <w:t xml:space="preserve">Адрес</w:t>
            </w:r>
          </w:p>
        </w:tc>
        <w:tc>
          <w:tcPr>
            <w:tcW w:type="pct" w:w="14%"/>
            <w:shd w:fill="E8EEF5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/>
                <w:bCs/>
                <w:color w:val="0F172A"/>
                <w:sz w:val="20"/>
                <w:szCs w:val="20"/>
              </w:rPr>
              <w:t xml:space="preserve">Тег</w:t>
            </w:r>
          </w:p>
        </w:tc>
        <w:tc>
          <w:tcPr>
            <w:tcW w:type="pct" w:w="40%"/>
            <w:shd w:fill="E8EEF5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/>
                <w:bCs/>
                <w:color w:val="0F172A"/>
                <w:sz w:val="20"/>
                <w:szCs w:val="20"/>
              </w:rPr>
              <w:t xml:space="preserve">Описание</w:t>
            </w:r>
          </w:p>
        </w:tc>
        <w:tc>
          <w:tcPr>
            <w:tcW w:type="pct" w:w="12%"/>
            <w:shd w:fill="E8EEF5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/>
                <w:bCs/>
                <w:color w:val="0F172A"/>
                <w:sz w:val="20"/>
                <w:szCs w:val="20"/>
              </w:rPr>
              <w:t xml:space="preserve">Ед.</w:t>
            </w:r>
          </w:p>
        </w:tc>
        <w:tc>
          <w:tcPr>
            <w:tcW w:type="pct" w:w="12%"/>
            <w:shd w:fill="E8EEF5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/>
                <w:bCs/>
                <w:color w:val="0F172A"/>
                <w:sz w:val="20"/>
                <w:szCs w:val="20"/>
              </w:rPr>
              <w:t xml:space="preserve">Масштаб</w:t>
            </w:r>
          </w:p>
        </w:tc>
        <w:tc>
          <w:tcPr>
            <w:tcW w:type="pct" w:w="12%"/>
            <w:shd w:fill="E8EEF5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/>
                <w:bCs/>
                <w:color w:val="0F172A"/>
                <w:sz w:val="20"/>
                <w:szCs w:val="20"/>
              </w:rPr>
              <w:t xml:space="preserve">Шкала</w:t>
            </w:r>
          </w:p>
        </w:tc>
      </w:tr>
      <w:tr>
        <w:trPr>
          <w:cantSplit/>
        </w:trPr>
        <w:tc>
          <w:tcPr>
            <w:tcW w:type="pct" w:w="10%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 w:val="false"/>
                <w:bCs w:val="false"/>
                <w:color w:val="1A2332"/>
                <w:sz w:val="20"/>
                <w:szCs w:val="20"/>
              </w:rPr>
              <w:t xml:space="preserve">0</w:t>
            </w:r>
          </w:p>
        </w:tc>
        <w:tc>
          <w:tcPr>
            <w:tcW w:type="pct" w:w="14%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 w:val="false"/>
                <w:bCs w:val="false"/>
                <w:color w:val="1A2332"/>
                <w:sz w:val="20"/>
                <w:szCs w:val="20"/>
              </w:rPr>
              <w:t xml:space="preserve">fi101</w:t>
            </w:r>
          </w:p>
        </w:tc>
        <w:tc>
          <w:tcPr>
            <w:tcW w:type="pct" w:w="40%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 w:val="false"/>
                <w:bCs w:val="false"/>
                <w:color w:val="1A2332"/>
                <w:sz w:val="20"/>
                <w:szCs w:val="20"/>
              </w:rPr>
              <w:t xml:space="preserve">Производительность питателя</w:t>
            </w:r>
          </w:p>
        </w:tc>
        <w:tc>
          <w:tcPr>
            <w:tcW w:type="pct" w:w="12%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 w:val="false"/>
                <w:bCs w:val="false"/>
                <w:color w:val="1A2332"/>
                <w:sz w:val="20"/>
                <w:szCs w:val="20"/>
              </w:rPr>
              <w:t xml:space="preserve">т/ч</w:t>
            </w:r>
          </w:p>
        </w:tc>
        <w:tc>
          <w:tcPr>
            <w:tcW w:type="pct" w:w="12%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 w:val="false"/>
                <w:bCs w:val="false"/>
                <w:color w:val="1A2332"/>
                <w:sz w:val="20"/>
                <w:szCs w:val="20"/>
              </w:rPr>
              <w:t xml:space="preserve">0,1</w:t>
            </w:r>
          </w:p>
        </w:tc>
        <w:tc>
          <w:tcPr>
            <w:tcW w:type="pct" w:w="12%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 w:val="false"/>
                <w:bCs w:val="false"/>
                <w:color w:val="1A2332"/>
                <w:sz w:val="20"/>
                <w:szCs w:val="20"/>
              </w:rPr>
              <w:t xml:space="preserve">0–200</w:t>
            </w:r>
          </w:p>
        </w:tc>
      </w:tr>
      <w:tr>
        <w:trPr>
          <w:cantSplit/>
        </w:trPr>
        <w:tc>
          <w:tcPr>
            <w:tcW w:type="pct" w:w="10%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 w:val="false"/>
                <w:bCs w:val="false"/>
                <w:color w:val="1A2332"/>
                <w:sz w:val="20"/>
                <w:szCs w:val="20"/>
              </w:rPr>
              <w:t xml:space="preserve">1</w:t>
            </w:r>
          </w:p>
        </w:tc>
        <w:tc>
          <w:tcPr>
            <w:tcW w:type="pct" w:w="14%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 w:val="false"/>
                <w:bCs w:val="false"/>
                <w:color w:val="1A2332"/>
                <w:sz w:val="20"/>
                <w:szCs w:val="20"/>
              </w:rPr>
              <w:t xml:space="preserve">ei101</w:t>
            </w:r>
          </w:p>
        </w:tc>
        <w:tc>
          <w:tcPr>
            <w:tcW w:type="pct" w:w="40%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 w:val="false"/>
                <w:bCs w:val="false"/>
                <w:color w:val="1A2332"/>
                <w:sz w:val="20"/>
                <w:szCs w:val="20"/>
              </w:rPr>
              <w:t xml:space="preserve">Мощность дробилки</w:t>
            </w:r>
          </w:p>
        </w:tc>
        <w:tc>
          <w:tcPr>
            <w:tcW w:type="pct" w:w="12%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 w:val="false"/>
                <w:bCs w:val="false"/>
                <w:color w:val="1A2332"/>
                <w:sz w:val="20"/>
                <w:szCs w:val="20"/>
              </w:rPr>
              <w:t xml:space="preserve">кВт</w:t>
            </w:r>
          </w:p>
        </w:tc>
        <w:tc>
          <w:tcPr>
            <w:tcW w:type="pct" w:w="12%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 w:val="false"/>
                <w:bCs w:val="false"/>
                <w:color w:val="1A2332"/>
                <w:sz w:val="20"/>
                <w:szCs w:val="20"/>
              </w:rPr>
              <w:t xml:space="preserve">0,1</w:t>
            </w:r>
          </w:p>
        </w:tc>
        <w:tc>
          <w:tcPr>
            <w:tcW w:type="pct" w:w="12%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 w:val="false"/>
                <w:bCs w:val="false"/>
                <w:color w:val="1A2332"/>
                <w:sz w:val="20"/>
                <w:szCs w:val="20"/>
              </w:rPr>
              <w:t xml:space="preserve">0–400</w:t>
            </w:r>
          </w:p>
        </w:tc>
      </w:tr>
      <w:tr>
        <w:trPr>
          <w:cantSplit/>
        </w:trPr>
        <w:tc>
          <w:tcPr>
            <w:tcW w:type="pct" w:w="10%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 w:val="false"/>
                <w:bCs w:val="false"/>
                <w:color w:val="1A2332"/>
                <w:sz w:val="20"/>
                <w:szCs w:val="20"/>
              </w:rPr>
              <w:t xml:space="preserve">2</w:t>
            </w:r>
          </w:p>
        </w:tc>
        <w:tc>
          <w:tcPr>
            <w:tcW w:type="pct" w:w="14%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 w:val="false"/>
                <w:bCs w:val="false"/>
                <w:color w:val="1A2332"/>
                <w:sz w:val="20"/>
                <w:szCs w:val="20"/>
              </w:rPr>
              <w:t xml:space="preserve">ei201</w:t>
            </w:r>
          </w:p>
        </w:tc>
        <w:tc>
          <w:tcPr>
            <w:tcW w:type="pct" w:w="40%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 w:val="false"/>
                <w:bCs w:val="false"/>
                <w:color w:val="1A2332"/>
                <w:sz w:val="20"/>
                <w:szCs w:val="20"/>
              </w:rPr>
              <w:t xml:space="preserve">Мощность мельницы</w:t>
            </w:r>
          </w:p>
        </w:tc>
        <w:tc>
          <w:tcPr>
            <w:tcW w:type="pct" w:w="12%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 w:val="false"/>
                <w:bCs w:val="false"/>
                <w:color w:val="1A2332"/>
                <w:sz w:val="20"/>
                <w:szCs w:val="20"/>
              </w:rPr>
              <w:t xml:space="preserve">кВт</w:t>
            </w:r>
          </w:p>
        </w:tc>
        <w:tc>
          <w:tcPr>
            <w:tcW w:type="pct" w:w="12%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 w:val="false"/>
                <w:bCs w:val="false"/>
                <w:color w:val="1A2332"/>
                <w:sz w:val="20"/>
                <w:szCs w:val="20"/>
              </w:rPr>
              <w:t xml:space="preserve">0,1</w:t>
            </w:r>
          </w:p>
        </w:tc>
        <w:tc>
          <w:tcPr>
            <w:tcW w:type="pct" w:w="12%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 w:val="false"/>
                <w:bCs w:val="false"/>
                <w:color w:val="1A2332"/>
                <w:sz w:val="20"/>
                <w:szCs w:val="20"/>
              </w:rPr>
              <w:t xml:space="preserve">0–2500</w:t>
            </w:r>
          </w:p>
        </w:tc>
      </w:tr>
      <w:tr>
        <w:trPr>
          <w:cantSplit/>
        </w:trPr>
        <w:tc>
          <w:tcPr>
            <w:tcW w:type="pct" w:w="10%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 w:val="false"/>
                <w:bCs w:val="false"/>
                <w:color w:val="1A2332"/>
                <w:sz w:val="20"/>
                <w:szCs w:val="20"/>
              </w:rPr>
              <w:t xml:space="preserve">3</w:t>
            </w:r>
          </w:p>
        </w:tc>
        <w:tc>
          <w:tcPr>
            <w:tcW w:type="pct" w:w="14%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 w:val="false"/>
                <w:bCs w:val="false"/>
                <w:color w:val="1A2332"/>
                <w:sz w:val="20"/>
                <w:szCs w:val="20"/>
              </w:rPr>
              <w:t xml:space="preserve">fi201</w:t>
            </w:r>
          </w:p>
        </w:tc>
        <w:tc>
          <w:tcPr>
            <w:tcW w:type="pct" w:w="40%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 w:val="false"/>
                <w:bCs w:val="false"/>
                <w:color w:val="1A2332"/>
                <w:sz w:val="20"/>
                <w:szCs w:val="20"/>
              </w:rPr>
              <w:t xml:space="preserve">Свежая вода в мельницу</w:t>
            </w:r>
          </w:p>
        </w:tc>
        <w:tc>
          <w:tcPr>
            <w:tcW w:type="pct" w:w="12%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 w:val="false"/>
                <w:bCs w:val="false"/>
                <w:color w:val="1A2332"/>
                <w:sz w:val="20"/>
                <w:szCs w:val="20"/>
              </w:rPr>
              <w:t xml:space="preserve">м³/ч</w:t>
            </w:r>
          </w:p>
        </w:tc>
        <w:tc>
          <w:tcPr>
            <w:tcW w:type="pct" w:w="12%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 w:val="false"/>
                <w:bCs w:val="false"/>
                <w:color w:val="1A2332"/>
                <w:sz w:val="20"/>
                <w:szCs w:val="20"/>
              </w:rPr>
              <w:t xml:space="preserve">0,1</w:t>
            </w:r>
          </w:p>
        </w:tc>
        <w:tc>
          <w:tcPr>
            <w:tcW w:type="pct" w:w="12%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 w:val="false"/>
                <w:bCs w:val="false"/>
                <w:color w:val="1A2332"/>
                <w:sz w:val="20"/>
                <w:szCs w:val="20"/>
              </w:rPr>
              <w:t xml:space="preserve">0–300</w:t>
            </w:r>
          </w:p>
        </w:tc>
      </w:tr>
      <w:tr>
        <w:trPr>
          <w:cantSplit/>
        </w:trPr>
        <w:tc>
          <w:tcPr>
            <w:tcW w:type="pct" w:w="10%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 w:val="false"/>
                <w:bCs w:val="false"/>
                <w:color w:val="1A2332"/>
                <w:sz w:val="20"/>
                <w:szCs w:val="20"/>
              </w:rPr>
              <w:t xml:space="preserve">4</w:t>
            </w:r>
          </w:p>
        </w:tc>
        <w:tc>
          <w:tcPr>
            <w:tcW w:type="pct" w:w="14%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 w:val="false"/>
                <w:bCs w:val="false"/>
                <w:color w:val="1A2332"/>
                <w:sz w:val="20"/>
                <w:szCs w:val="20"/>
              </w:rPr>
              <w:t xml:space="preserve">pi201</w:t>
            </w:r>
          </w:p>
        </w:tc>
        <w:tc>
          <w:tcPr>
            <w:tcW w:type="pct" w:w="40%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 w:val="false"/>
                <w:bCs w:val="false"/>
                <w:color w:val="1A2332"/>
                <w:sz w:val="20"/>
                <w:szCs w:val="20"/>
              </w:rPr>
              <w:t xml:space="preserve">Давление питания гидроциклона</w:t>
            </w:r>
          </w:p>
        </w:tc>
        <w:tc>
          <w:tcPr>
            <w:tcW w:type="pct" w:w="12%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 w:val="false"/>
                <w:bCs w:val="false"/>
                <w:color w:val="1A2332"/>
                <w:sz w:val="20"/>
                <w:szCs w:val="20"/>
              </w:rPr>
              <w:t xml:space="preserve">кПа</w:t>
            </w:r>
          </w:p>
        </w:tc>
        <w:tc>
          <w:tcPr>
            <w:tcW w:type="pct" w:w="12%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 w:val="false"/>
                <w:bCs w:val="false"/>
                <w:color w:val="1A2332"/>
                <w:sz w:val="20"/>
                <w:szCs w:val="20"/>
              </w:rPr>
              <w:t xml:space="preserve">0,1</w:t>
            </w:r>
          </w:p>
        </w:tc>
        <w:tc>
          <w:tcPr>
            <w:tcW w:type="pct" w:w="12%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 w:val="false"/>
                <w:bCs w:val="false"/>
                <w:color w:val="1A2332"/>
                <w:sz w:val="20"/>
                <w:szCs w:val="20"/>
              </w:rPr>
              <w:t xml:space="preserve">0–350</w:t>
            </w:r>
          </w:p>
        </w:tc>
      </w:tr>
      <w:tr>
        <w:trPr>
          <w:cantSplit/>
        </w:trPr>
        <w:tc>
          <w:tcPr>
            <w:tcW w:type="pct" w:w="10%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 w:val="false"/>
                <w:bCs w:val="false"/>
                <w:color w:val="1A2332"/>
                <w:sz w:val="20"/>
                <w:szCs w:val="20"/>
              </w:rPr>
              <w:t xml:space="preserve">5</w:t>
            </w:r>
          </w:p>
        </w:tc>
        <w:tc>
          <w:tcPr>
            <w:tcW w:type="pct" w:w="14%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 w:val="false"/>
                <w:bCs w:val="false"/>
                <w:color w:val="1A2332"/>
                <w:sz w:val="20"/>
                <w:szCs w:val="20"/>
              </w:rPr>
              <w:t xml:space="preserve">di202</w:t>
            </w:r>
          </w:p>
        </w:tc>
        <w:tc>
          <w:tcPr>
            <w:tcW w:type="pct" w:w="40%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 w:val="false"/>
                <w:bCs w:val="false"/>
                <w:color w:val="1A2332"/>
                <w:sz w:val="20"/>
                <w:szCs w:val="20"/>
              </w:rPr>
              <w:t xml:space="preserve">Плотность слива гидроциклона</w:t>
            </w:r>
          </w:p>
        </w:tc>
        <w:tc>
          <w:tcPr>
            <w:tcW w:type="pct" w:w="12%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 w:val="false"/>
                <w:bCs w:val="false"/>
                <w:color w:val="1A2332"/>
                <w:sz w:val="20"/>
                <w:szCs w:val="20"/>
              </w:rPr>
              <w:t xml:space="preserve">г/л</w:t>
            </w:r>
          </w:p>
        </w:tc>
        <w:tc>
          <w:tcPr>
            <w:tcW w:type="pct" w:w="12%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 w:val="false"/>
                <w:bCs w:val="false"/>
                <w:color w:val="1A2332"/>
                <w:sz w:val="20"/>
                <w:szCs w:val="20"/>
              </w:rPr>
              <w:t xml:space="preserve">1</w:t>
            </w:r>
          </w:p>
        </w:tc>
        <w:tc>
          <w:tcPr>
            <w:tcW w:type="pct" w:w="12%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 w:val="false"/>
                <w:bCs w:val="false"/>
                <w:color w:val="1A2332"/>
                <w:sz w:val="20"/>
                <w:szCs w:val="20"/>
              </w:rPr>
              <w:t xml:space="preserve">1300–1750</w:t>
            </w:r>
          </w:p>
        </w:tc>
      </w:tr>
      <w:tr>
        <w:trPr>
          <w:cantSplit/>
        </w:trPr>
        <w:tc>
          <w:tcPr>
            <w:tcW w:type="pct" w:w="10%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 w:val="false"/>
                <w:bCs w:val="false"/>
                <w:color w:val="1A2332"/>
                <w:sz w:val="20"/>
                <w:szCs w:val="20"/>
              </w:rPr>
              <w:t xml:space="preserve">6</w:t>
            </w:r>
          </w:p>
        </w:tc>
        <w:tc>
          <w:tcPr>
            <w:tcW w:type="pct" w:w="14%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 w:val="false"/>
                <w:bCs w:val="false"/>
                <w:color w:val="1A2332"/>
                <w:sz w:val="20"/>
                <w:szCs w:val="20"/>
              </w:rPr>
              <w:t xml:space="preserve">xi201</w:t>
            </w:r>
          </w:p>
        </w:tc>
        <w:tc>
          <w:tcPr>
            <w:tcW w:type="pct" w:w="40%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 w:val="false"/>
                <w:bCs w:val="false"/>
                <w:color w:val="1A2332"/>
                <w:sz w:val="20"/>
                <w:szCs w:val="20"/>
              </w:rPr>
              <w:t xml:space="preserve">Крупность слива P80</w:t>
            </w:r>
          </w:p>
        </w:tc>
        <w:tc>
          <w:tcPr>
            <w:tcW w:type="pct" w:w="12%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 w:val="false"/>
                <w:bCs w:val="false"/>
                <w:color w:val="1A2332"/>
                <w:sz w:val="20"/>
                <w:szCs w:val="20"/>
              </w:rPr>
              <w:t xml:space="preserve">мкм</w:t>
            </w:r>
          </w:p>
        </w:tc>
        <w:tc>
          <w:tcPr>
            <w:tcW w:type="pct" w:w="12%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 w:val="false"/>
                <w:bCs w:val="false"/>
                <w:color w:val="1A2332"/>
                <w:sz w:val="20"/>
                <w:szCs w:val="20"/>
              </w:rPr>
              <w:t xml:space="preserve">1</w:t>
            </w:r>
          </w:p>
        </w:tc>
        <w:tc>
          <w:tcPr>
            <w:tcW w:type="pct" w:w="12%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 w:val="false"/>
                <w:bCs w:val="false"/>
                <w:color w:val="1A2332"/>
                <w:sz w:val="20"/>
                <w:szCs w:val="20"/>
              </w:rPr>
              <w:t xml:space="preserve">40–300</w:t>
            </w:r>
          </w:p>
        </w:tc>
      </w:tr>
      <w:tr>
        <w:trPr>
          <w:cantSplit/>
        </w:trPr>
        <w:tc>
          <w:tcPr>
            <w:tcW w:type="pct" w:w="10%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 w:val="false"/>
                <w:bCs w:val="false"/>
                <w:color w:val="1A2332"/>
                <w:sz w:val="20"/>
                <w:szCs w:val="20"/>
              </w:rPr>
              <w:t xml:space="preserve">7</w:t>
            </w:r>
          </w:p>
        </w:tc>
        <w:tc>
          <w:tcPr>
            <w:tcW w:type="pct" w:w="14%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 w:val="false"/>
                <w:bCs w:val="false"/>
                <w:color w:val="1A2332"/>
                <w:sz w:val="20"/>
                <w:szCs w:val="20"/>
              </w:rPr>
              <w:t xml:space="preserve">fi202</w:t>
            </w:r>
          </w:p>
        </w:tc>
        <w:tc>
          <w:tcPr>
            <w:tcW w:type="pct" w:w="40%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 w:val="false"/>
                <w:bCs w:val="false"/>
                <w:color w:val="1A2332"/>
                <w:sz w:val="20"/>
                <w:szCs w:val="20"/>
              </w:rPr>
              <w:t xml:space="preserve">Расход пульпы на гидроциклон</w:t>
            </w:r>
          </w:p>
        </w:tc>
        <w:tc>
          <w:tcPr>
            <w:tcW w:type="pct" w:w="12%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 w:val="false"/>
                <w:bCs w:val="false"/>
                <w:color w:val="1A2332"/>
                <w:sz w:val="20"/>
                <w:szCs w:val="20"/>
              </w:rPr>
              <w:t xml:space="preserve">м³/ч</w:t>
            </w:r>
          </w:p>
        </w:tc>
        <w:tc>
          <w:tcPr>
            <w:tcW w:type="pct" w:w="12%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 w:val="false"/>
                <w:bCs w:val="false"/>
                <w:color w:val="1A2332"/>
                <w:sz w:val="20"/>
                <w:szCs w:val="20"/>
              </w:rPr>
              <w:t xml:space="preserve">0,1</w:t>
            </w:r>
          </w:p>
        </w:tc>
        <w:tc>
          <w:tcPr>
            <w:tcW w:type="pct" w:w="12%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 w:val="false"/>
                <w:bCs w:val="false"/>
                <w:color w:val="1A2332"/>
                <w:sz w:val="20"/>
                <w:szCs w:val="20"/>
              </w:rPr>
              <w:t xml:space="preserve">0–600</w:t>
            </w:r>
          </w:p>
        </w:tc>
      </w:tr>
      <w:tr>
        <w:trPr>
          <w:cantSplit/>
        </w:trPr>
        <w:tc>
          <w:tcPr>
            <w:tcW w:type="pct" w:w="10%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 w:val="false"/>
                <w:bCs w:val="false"/>
                <w:color w:val="1A2332"/>
                <w:sz w:val="20"/>
                <w:szCs w:val="20"/>
              </w:rPr>
              <w:t xml:space="preserve">8</w:t>
            </w:r>
          </w:p>
        </w:tc>
        <w:tc>
          <w:tcPr>
            <w:tcW w:type="pct" w:w="14%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 w:val="false"/>
                <w:bCs w:val="false"/>
                <w:color w:val="1A2332"/>
                <w:sz w:val="20"/>
                <w:szCs w:val="20"/>
              </w:rPr>
              <w:t xml:space="preserve">li301</w:t>
            </w:r>
          </w:p>
        </w:tc>
        <w:tc>
          <w:tcPr>
            <w:tcW w:type="pct" w:w="40%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 w:val="false"/>
                <w:bCs w:val="false"/>
                <w:color w:val="1A2332"/>
                <w:sz w:val="20"/>
                <w:szCs w:val="20"/>
              </w:rPr>
              <w:t xml:space="preserve">Уровень пульпы во флотомашине</w:t>
            </w:r>
          </w:p>
        </w:tc>
        <w:tc>
          <w:tcPr>
            <w:tcW w:type="pct" w:w="12%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 w:val="false"/>
                <w:bCs w:val="false"/>
                <w:color w:val="1A2332"/>
                <w:sz w:val="20"/>
                <w:szCs w:val="20"/>
              </w:rPr>
              <w:t xml:space="preserve">мм</w:t>
            </w:r>
          </w:p>
        </w:tc>
        <w:tc>
          <w:tcPr>
            <w:tcW w:type="pct" w:w="12%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 w:val="false"/>
                <w:bCs w:val="false"/>
                <w:color w:val="1A2332"/>
                <w:sz w:val="20"/>
                <w:szCs w:val="20"/>
              </w:rPr>
              <w:t xml:space="preserve">1</w:t>
            </w:r>
          </w:p>
        </w:tc>
        <w:tc>
          <w:tcPr>
            <w:tcW w:type="pct" w:w="12%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 w:val="false"/>
                <w:bCs w:val="false"/>
                <w:color w:val="1A2332"/>
                <w:sz w:val="20"/>
                <w:szCs w:val="20"/>
              </w:rPr>
              <w:t xml:space="preserve">200–800</w:t>
            </w:r>
          </w:p>
        </w:tc>
      </w:tr>
      <w:tr>
        <w:trPr>
          <w:cantSplit/>
        </w:trPr>
        <w:tc>
          <w:tcPr>
            <w:tcW w:type="pct" w:w="10%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 w:val="false"/>
                <w:bCs w:val="false"/>
                <w:color w:val="1A2332"/>
                <w:sz w:val="20"/>
                <w:szCs w:val="20"/>
              </w:rPr>
              <w:t xml:space="preserve">9</w:t>
            </w:r>
          </w:p>
        </w:tc>
        <w:tc>
          <w:tcPr>
            <w:tcW w:type="pct" w:w="14%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 w:val="false"/>
                <w:bCs w:val="false"/>
                <w:color w:val="1A2332"/>
                <w:sz w:val="20"/>
                <w:szCs w:val="20"/>
              </w:rPr>
              <w:t xml:space="preserve">fi301</w:t>
            </w:r>
          </w:p>
        </w:tc>
        <w:tc>
          <w:tcPr>
            <w:tcW w:type="pct" w:w="40%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 w:val="false"/>
                <w:bCs w:val="false"/>
                <w:color w:val="1A2332"/>
                <w:sz w:val="20"/>
                <w:szCs w:val="20"/>
              </w:rPr>
              <w:t xml:space="preserve">Расход воздуха аэрации</w:t>
            </w:r>
          </w:p>
        </w:tc>
        <w:tc>
          <w:tcPr>
            <w:tcW w:type="pct" w:w="12%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 w:val="false"/>
                <w:bCs w:val="false"/>
                <w:color w:val="1A2332"/>
                <w:sz w:val="20"/>
                <w:szCs w:val="20"/>
              </w:rPr>
              <w:t xml:space="preserve">м³/ч</w:t>
            </w:r>
          </w:p>
        </w:tc>
        <w:tc>
          <w:tcPr>
            <w:tcW w:type="pct" w:w="12%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 w:val="false"/>
                <w:bCs w:val="false"/>
                <w:color w:val="1A2332"/>
                <w:sz w:val="20"/>
                <w:szCs w:val="20"/>
              </w:rPr>
              <w:t xml:space="preserve">1</w:t>
            </w:r>
          </w:p>
        </w:tc>
        <w:tc>
          <w:tcPr>
            <w:tcW w:type="pct" w:w="12%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 w:val="false"/>
                <w:bCs w:val="false"/>
                <w:color w:val="1A2332"/>
                <w:sz w:val="20"/>
                <w:szCs w:val="20"/>
              </w:rPr>
              <w:t xml:space="preserve">0–600</w:t>
            </w:r>
          </w:p>
        </w:tc>
      </w:tr>
      <w:tr>
        <w:trPr>
          <w:cantSplit/>
        </w:trPr>
        <w:tc>
          <w:tcPr>
            <w:tcW w:type="pct" w:w="10%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 w:val="false"/>
                <w:bCs w:val="false"/>
                <w:color w:val="1A2332"/>
                <w:sz w:val="20"/>
                <w:szCs w:val="20"/>
              </w:rPr>
              <w:t xml:space="preserve">10</w:t>
            </w:r>
          </w:p>
        </w:tc>
        <w:tc>
          <w:tcPr>
            <w:tcW w:type="pct" w:w="14%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 w:val="false"/>
                <w:bCs w:val="false"/>
                <w:color w:val="1A2332"/>
                <w:sz w:val="20"/>
                <w:szCs w:val="20"/>
              </w:rPr>
              <w:t xml:space="preserve">ai301</w:t>
            </w:r>
          </w:p>
        </w:tc>
        <w:tc>
          <w:tcPr>
            <w:tcW w:type="pct" w:w="40%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 w:val="false"/>
                <w:bCs w:val="false"/>
                <w:color w:val="1A2332"/>
                <w:sz w:val="20"/>
                <w:szCs w:val="20"/>
              </w:rPr>
              <w:t xml:space="preserve">pH пульпы</w:t>
            </w:r>
          </w:p>
        </w:tc>
        <w:tc>
          <w:tcPr>
            <w:tcW w:type="pct" w:w="12%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 w:val="false"/>
                <w:bCs w:val="false"/>
                <w:color w:val="1A2332"/>
                <w:sz w:val="20"/>
                <w:szCs w:val="20"/>
              </w:rPr>
              <w:t xml:space="preserve">—</w:t>
            </w:r>
          </w:p>
        </w:tc>
        <w:tc>
          <w:tcPr>
            <w:tcW w:type="pct" w:w="12%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 w:val="false"/>
                <w:bCs w:val="false"/>
                <w:color w:val="1A2332"/>
                <w:sz w:val="20"/>
                <w:szCs w:val="20"/>
              </w:rPr>
              <w:t xml:space="preserve">0,01</w:t>
            </w:r>
          </w:p>
        </w:tc>
        <w:tc>
          <w:tcPr>
            <w:tcW w:type="pct" w:w="12%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 w:val="false"/>
                <w:bCs w:val="false"/>
                <w:color w:val="1A2332"/>
                <w:sz w:val="20"/>
                <w:szCs w:val="20"/>
              </w:rPr>
              <w:t xml:space="preserve">4–13</w:t>
            </w:r>
          </w:p>
        </w:tc>
      </w:tr>
      <w:tr>
        <w:trPr>
          <w:cantSplit/>
        </w:trPr>
        <w:tc>
          <w:tcPr>
            <w:tcW w:type="pct" w:w="10%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 w:val="false"/>
                <w:bCs w:val="false"/>
                <w:color w:val="1A2332"/>
                <w:sz w:val="20"/>
                <w:szCs w:val="20"/>
              </w:rPr>
              <w:t xml:space="preserve">11</w:t>
            </w:r>
          </w:p>
        </w:tc>
        <w:tc>
          <w:tcPr>
            <w:tcW w:type="pct" w:w="14%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 w:val="false"/>
                <w:bCs w:val="false"/>
                <w:color w:val="1A2332"/>
                <w:sz w:val="20"/>
                <w:szCs w:val="20"/>
              </w:rPr>
              <w:t xml:space="preserve">qi301</w:t>
            </w:r>
          </w:p>
        </w:tc>
        <w:tc>
          <w:tcPr>
            <w:tcW w:type="pct" w:w="40%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 w:val="false"/>
                <w:bCs w:val="false"/>
                <w:color w:val="1A2332"/>
                <w:sz w:val="20"/>
                <w:szCs w:val="20"/>
              </w:rPr>
              <w:t xml:space="preserve">Расход собирателя (факт)</w:t>
            </w:r>
          </w:p>
        </w:tc>
        <w:tc>
          <w:tcPr>
            <w:tcW w:type="pct" w:w="12%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 w:val="false"/>
                <w:bCs w:val="false"/>
                <w:color w:val="1A2332"/>
                <w:sz w:val="20"/>
                <w:szCs w:val="20"/>
              </w:rPr>
              <w:t xml:space="preserve">мл/мин</w:t>
            </w:r>
          </w:p>
        </w:tc>
        <w:tc>
          <w:tcPr>
            <w:tcW w:type="pct" w:w="12%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 w:val="false"/>
                <w:bCs w:val="false"/>
                <w:color w:val="1A2332"/>
                <w:sz w:val="20"/>
                <w:szCs w:val="20"/>
              </w:rPr>
              <w:t xml:space="preserve">1</w:t>
            </w:r>
          </w:p>
        </w:tc>
        <w:tc>
          <w:tcPr>
            <w:tcW w:type="pct" w:w="12%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 w:val="false"/>
                <w:bCs w:val="false"/>
                <w:color w:val="1A2332"/>
                <w:sz w:val="20"/>
                <w:szCs w:val="20"/>
              </w:rPr>
              <w:t xml:space="preserve">0–500</w:t>
            </w:r>
          </w:p>
        </w:tc>
      </w:tr>
      <w:tr>
        <w:trPr>
          <w:cantSplit/>
        </w:trPr>
        <w:tc>
          <w:tcPr>
            <w:tcW w:type="pct" w:w="10%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 w:val="false"/>
                <w:bCs w:val="false"/>
                <w:color w:val="1A2332"/>
                <w:sz w:val="20"/>
                <w:szCs w:val="20"/>
              </w:rPr>
              <w:t xml:space="preserve">12</w:t>
            </w:r>
          </w:p>
        </w:tc>
        <w:tc>
          <w:tcPr>
            <w:tcW w:type="pct" w:w="14%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 w:val="false"/>
                <w:bCs w:val="false"/>
                <w:color w:val="1A2332"/>
                <w:sz w:val="20"/>
                <w:szCs w:val="20"/>
              </w:rPr>
              <w:t xml:space="preserve">qi302</w:t>
            </w:r>
          </w:p>
        </w:tc>
        <w:tc>
          <w:tcPr>
            <w:tcW w:type="pct" w:w="40%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 w:val="false"/>
                <w:bCs w:val="false"/>
                <w:color w:val="1A2332"/>
                <w:sz w:val="20"/>
                <w:szCs w:val="20"/>
              </w:rPr>
              <w:t xml:space="preserve">Расход вспенивателя (факт)</w:t>
            </w:r>
          </w:p>
        </w:tc>
        <w:tc>
          <w:tcPr>
            <w:tcW w:type="pct" w:w="12%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 w:val="false"/>
                <w:bCs w:val="false"/>
                <w:color w:val="1A2332"/>
                <w:sz w:val="20"/>
                <w:szCs w:val="20"/>
              </w:rPr>
              <w:t xml:space="preserve">мл/мин</w:t>
            </w:r>
          </w:p>
        </w:tc>
        <w:tc>
          <w:tcPr>
            <w:tcW w:type="pct" w:w="12%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 w:val="false"/>
                <w:bCs w:val="false"/>
                <w:color w:val="1A2332"/>
                <w:sz w:val="20"/>
                <w:szCs w:val="20"/>
              </w:rPr>
              <w:t xml:space="preserve">1</w:t>
            </w:r>
          </w:p>
        </w:tc>
        <w:tc>
          <w:tcPr>
            <w:tcW w:type="pct" w:w="12%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 w:val="false"/>
                <w:bCs w:val="false"/>
                <w:color w:val="1A2332"/>
                <w:sz w:val="20"/>
                <w:szCs w:val="20"/>
              </w:rPr>
              <w:t xml:space="preserve">0–300</w:t>
            </w:r>
          </w:p>
        </w:tc>
      </w:tr>
      <w:tr>
        <w:trPr>
          <w:cantSplit/>
        </w:trPr>
        <w:tc>
          <w:tcPr>
            <w:tcW w:type="pct" w:w="10%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 w:val="false"/>
                <w:bCs w:val="false"/>
                <w:color w:val="1A2332"/>
                <w:sz w:val="20"/>
                <w:szCs w:val="20"/>
              </w:rPr>
              <w:t xml:space="preserve">13</w:t>
            </w:r>
          </w:p>
        </w:tc>
        <w:tc>
          <w:tcPr>
            <w:tcW w:type="pct" w:w="14%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 w:val="false"/>
                <w:bCs w:val="false"/>
                <w:color w:val="1A2332"/>
                <w:sz w:val="20"/>
                <w:szCs w:val="20"/>
              </w:rPr>
              <w:t xml:space="preserve">di301</w:t>
            </w:r>
          </w:p>
        </w:tc>
        <w:tc>
          <w:tcPr>
            <w:tcW w:type="pct" w:w="40%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 w:val="false"/>
                <w:bCs w:val="false"/>
                <w:color w:val="1A2332"/>
                <w:sz w:val="20"/>
                <w:szCs w:val="20"/>
              </w:rPr>
              <w:t xml:space="preserve">Плотность пульпы флотации</w:t>
            </w:r>
          </w:p>
        </w:tc>
        <w:tc>
          <w:tcPr>
            <w:tcW w:type="pct" w:w="12%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 w:val="false"/>
                <w:bCs w:val="false"/>
                <w:color w:val="1A2332"/>
                <w:sz w:val="20"/>
                <w:szCs w:val="20"/>
              </w:rPr>
              <w:t xml:space="preserve">% тв.</w:t>
            </w:r>
          </w:p>
        </w:tc>
        <w:tc>
          <w:tcPr>
            <w:tcW w:type="pct" w:w="12%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 w:val="false"/>
                <w:bCs w:val="false"/>
                <w:color w:val="1A2332"/>
                <w:sz w:val="20"/>
                <w:szCs w:val="20"/>
              </w:rPr>
              <w:t xml:space="preserve">0,1</w:t>
            </w:r>
          </w:p>
        </w:tc>
        <w:tc>
          <w:tcPr>
            <w:tcW w:type="pct" w:w="12%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 w:val="false"/>
                <w:bCs w:val="false"/>
                <w:color w:val="1A2332"/>
                <w:sz w:val="20"/>
                <w:szCs w:val="20"/>
              </w:rPr>
              <w:t xml:space="preserve">10–45</w:t>
            </w:r>
          </w:p>
        </w:tc>
      </w:tr>
      <w:tr>
        <w:trPr>
          <w:cantSplit/>
        </w:trPr>
        <w:tc>
          <w:tcPr>
            <w:tcW w:type="pct" w:w="10%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 w:val="false"/>
                <w:bCs w:val="false"/>
                <w:color w:val="1A2332"/>
                <w:sz w:val="20"/>
                <w:szCs w:val="20"/>
              </w:rPr>
              <w:t xml:space="preserve">14</w:t>
            </w:r>
          </w:p>
        </w:tc>
        <w:tc>
          <w:tcPr>
            <w:tcW w:type="pct" w:w="14%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 w:val="false"/>
                <w:bCs w:val="false"/>
                <w:color w:val="1A2332"/>
                <w:sz w:val="20"/>
                <w:szCs w:val="20"/>
              </w:rPr>
              <w:t xml:space="preserve">afi301</w:t>
            </w:r>
          </w:p>
        </w:tc>
        <w:tc>
          <w:tcPr>
            <w:tcW w:type="pct" w:w="40%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 w:val="false"/>
                <w:bCs w:val="false"/>
                <w:color w:val="1A2332"/>
                <w:sz w:val="20"/>
                <w:szCs w:val="20"/>
              </w:rPr>
              <w:t xml:space="preserve">Содержание Cu в питании, α (XRF)</w:t>
            </w:r>
          </w:p>
        </w:tc>
        <w:tc>
          <w:tcPr>
            <w:tcW w:type="pct" w:w="12%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 w:val="false"/>
                <w:bCs w:val="false"/>
                <w:color w:val="1A2332"/>
                <w:sz w:val="20"/>
                <w:szCs w:val="20"/>
              </w:rPr>
              <w:t xml:space="preserve">%</w:t>
            </w:r>
          </w:p>
        </w:tc>
        <w:tc>
          <w:tcPr>
            <w:tcW w:type="pct" w:w="12%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 w:val="false"/>
                <w:bCs w:val="false"/>
                <w:color w:val="1A2332"/>
                <w:sz w:val="20"/>
                <w:szCs w:val="20"/>
              </w:rPr>
              <w:t xml:space="preserve">0,001</w:t>
            </w:r>
          </w:p>
        </w:tc>
        <w:tc>
          <w:tcPr>
            <w:tcW w:type="pct" w:w="12%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 w:val="false"/>
                <w:bCs w:val="false"/>
                <w:color w:val="1A2332"/>
                <w:sz w:val="20"/>
                <w:szCs w:val="20"/>
              </w:rPr>
              <w:t xml:space="preserve">0,1–2,0</w:t>
            </w:r>
          </w:p>
        </w:tc>
      </w:tr>
      <w:tr>
        <w:trPr>
          <w:cantSplit/>
        </w:trPr>
        <w:tc>
          <w:tcPr>
            <w:tcW w:type="pct" w:w="10%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 w:val="false"/>
                <w:bCs w:val="false"/>
                <w:color w:val="1A2332"/>
                <w:sz w:val="20"/>
                <w:szCs w:val="20"/>
              </w:rPr>
              <w:t xml:space="preserve">15</w:t>
            </w:r>
          </w:p>
        </w:tc>
        <w:tc>
          <w:tcPr>
            <w:tcW w:type="pct" w:w="14%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 w:val="false"/>
                <w:bCs w:val="false"/>
                <w:color w:val="1A2332"/>
                <w:sz w:val="20"/>
                <w:szCs w:val="20"/>
              </w:rPr>
              <w:t xml:space="preserve">afc301</w:t>
            </w:r>
          </w:p>
        </w:tc>
        <w:tc>
          <w:tcPr>
            <w:tcW w:type="pct" w:w="40%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 w:val="false"/>
                <w:bCs w:val="false"/>
                <w:color w:val="1A2332"/>
                <w:sz w:val="20"/>
                <w:szCs w:val="20"/>
              </w:rPr>
              <w:t xml:space="preserve">Содержание Cu в концентрате, β (XRF)</w:t>
            </w:r>
          </w:p>
        </w:tc>
        <w:tc>
          <w:tcPr>
            <w:tcW w:type="pct" w:w="12%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 w:val="false"/>
                <w:bCs w:val="false"/>
                <w:color w:val="1A2332"/>
                <w:sz w:val="20"/>
                <w:szCs w:val="20"/>
              </w:rPr>
              <w:t xml:space="preserve">%</w:t>
            </w:r>
          </w:p>
        </w:tc>
        <w:tc>
          <w:tcPr>
            <w:tcW w:type="pct" w:w="12%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 w:val="false"/>
                <w:bCs w:val="false"/>
                <w:color w:val="1A2332"/>
                <w:sz w:val="20"/>
                <w:szCs w:val="20"/>
              </w:rPr>
              <w:t xml:space="preserve">0,01</w:t>
            </w:r>
          </w:p>
        </w:tc>
        <w:tc>
          <w:tcPr>
            <w:tcW w:type="pct" w:w="12%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 w:val="false"/>
                <w:bCs w:val="false"/>
                <w:color w:val="1A2332"/>
                <w:sz w:val="20"/>
                <w:szCs w:val="20"/>
              </w:rPr>
              <w:t xml:space="preserve">5–30</w:t>
            </w:r>
          </w:p>
        </w:tc>
      </w:tr>
      <w:tr>
        <w:trPr>
          <w:cantSplit/>
        </w:trPr>
        <w:tc>
          <w:tcPr>
            <w:tcW w:type="pct" w:w="10%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 w:val="false"/>
                <w:bCs w:val="false"/>
                <w:color w:val="1A2332"/>
                <w:sz w:val="20"/>
                <w:szCs w:val="20"/>
              </w:rPr>
              <w:t xml:space="preserve">16</w:t>
            </w:r>
          </w:p>
        </w:tc>
        <w:tc>
          <w:tcPr>
            <w:tcW w:type="pct" w:w="14%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 w:val="false"/>
                <w:bCs w:val="false"/>
                <w:color w:val="1A2332"/>
                <w:sz w:val="20"/>
                <w:szCs w:val="20"/>
              </w:rPr>
              <w:t xml:space="preserve">aft301</w:t>
            </w:r>
          </w:p>
        </w:tc>
        <w:tc>
          <w:tcPr>
            <w:tcW w:type="pct" w:w="40%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 w:val="false"/>
                <w:bCs w:val="false"/>
                <w:color w:val="1A2332"/>
                <w:sz w:val="20"/>
                <w:szCs w:val="20"/>
              </w:rPr>
              <w:t xml:space="preserve">Содержание Cu в хвостах, θ (XRF)</w:t>
            </w:r>
          </w:p>
        </w:tc>
        <w:tc>
          <w:tcPr>
            <w:tcW w:type="pct" w:w="12%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 w:val="false"/>
                <w:bCs w:val="false"/>
                <w:color w:val="1A2332"/>
                <w:sz w:val="20"/>
                <w:szCs w:val="20"/>
              </w:rPr>
              <w:t xml:space="preserve">%</w:t>
            </w:r>
          </w:p>
        </w:tc>
        <w:tc>
          <w:tcPr>
            <w:tcW w:type="pct" w:w="12%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 w:val="false"/>
                <w:bCs w:val="false"/>
                <w:color w:val="1A2332"/>
                <w:sz w:val="20"/>
                <w:szCs w:val="20"/>
              </w:rPr>
              <w:t xml:space="preserve">0,001</w:t>
            </w:r>
          </w:p>
        </w:tc>
        <w:tc>
          <w:tcPr>
            <w:tcW w:type="pct" w:w="12%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 w:val="false"/>
                <w:bCs w:val="false"/>
                <w:color w:val="1A2332"/>
                <w:sz w:val="20"/>
                <w:szCs w:val="20"/>
              </w:rPr>
              <w:t xml:space="preserve">0,01–0,5</w:t>
            </w:r>
          </w:p>
        </w:tc>
      </w:tr>
      <w:tr>
        <w:trPr>
          <w:cantSplit/>
        </w:trPr>
        <w:tc>
          <w:tcPr>
            <w:tcW w:type="pct" w:w="10%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 w:val="false"/>
                <w:bCs w:val="false"/>
                <w:color w:val="1A2332"/>
                <w:sz w:val="20"/>
                <w:szCs w:val="20"/>
              </w:rPr>
              <w:t xml:space="preserve">17</w:t>
            </w:r>
          </w:p>
        </w:tc>
        <w:tc>
          <w:tcPr>
            <w:tcW w:type="pct" w:w="14%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 w:val="false"/>
                <w:bCs w:val="false"/>
                <w:color w:val="1A2332"/>
                <w:sz w:val="20"/>
                <w:szCs w:val="20"/>
              </w:rPr>
              <w:t xml:space="preserve">wi301</w:t>
            </w:r>
          </w:p>
        </w:tc>
        <w:tc>
          <w:tcPr>
            <w:tcW w:type="pct" w:w="40%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 w:val="false"/>
                <w:bCs w:val="false"/>
                <w:color w:val="1A2332"/>
                <w:sz w:val="20"/>
                <w:szCs w:val="20"/>
              </w:rPr>
              <w:t xml:space="preserve">Массовый расход концентрата</w:t>
            </w:r>
          </w:p>
        </w:tc>
        <w:tc>
          <w:tcPr>
            <w:tcW w:type="pct" w:w="12%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 w:val="false"/>
                <w:bCs w:val="false"/>
                <w:color w:val="1A2332"/>
                <w:sz w:val="20"/>
                <w:szCs w:val="20"/>
              </w:rPr>
              <w:t xml:space="preserve">т/ч</w:t>
            </w:r>
          </w:p>
        </w:tc>
        <w:tc>
          <w:tcPr>
            <w:tcW w:type="pct" w:w="12%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 w:val="false"/>
                <w:bCs w:val="false"/>
                <w:color w:val="1A2332"/>
                <w:sz w:val="20"/>
                <w:szCs w:val="20"/>
              </w:rPr>
              <w:t xml:space="preserve">0,01</w:t>
            </w:r>
          </w:p>
        </w:tc>
        <w:tc>
          <w:tcPr>
            <w:tcW w:type="pct" w:w="12%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 w:val="false"/>
                <w:bCs w:val="false"/>
                <w:color w:val="1A2332"/>
                <w:sz w:val="20"/>
                <w:szCs w:val="20"/>
              </w:rPr>
              <w:t xml:space="preserve">0–10</w:t>
            </w:r>
          </w:p>
        </w:tc>
      </w:tr>
      <w:tr>
        <w:trPr>
          <w:cantSplit/>
        </w:trPr>
        <w:tc>
          <w:tcPr>
            <w:tcW w:type="pct" w:w="10%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 w:val="false"/>
                <w:bCs w:val="false"/>
                <w:color w:val="1A2332"/>
                <w:sz w:val="20"/>
                <w:szCs w:val="20"/>
              </w:rPr>
              <w:t xml:space="preserve">18</w:t>
            </w:r>
          </w:p>
        </w:tc>
        <w:tc>
          <w:tcPr>
            <w:tcW w:type="pct" w:w="14%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 w:val="false"/>
                <w:bCs w:val="false"/>
                <w:color w:val="1A2332"/>
                <w:sz w:val="20"/>
                <w:szCs w:val="20"/>
              </w:rPr>
              <w:t xml:space="preserve">wi302</w:t>
            </w:r>
          </w:p>
        </w:tc>
        <w:tc>
          <w:tcPr>
            <w:tcW w:type="pct" w:w="40%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 w:val="false"/>
                <w:bCs w:val="false"/>
                <w:color w:val="1A2332"/>
                <w:sz w:val="20"/>
                <w:szCs w:val="20"/>
              </w:rPr>
              <w:t xml:space="preserve">Массовый расход хвостов</w:t>
            </w:r>
          </w:p>
        </w:tc>
        <w:tc>
          <w:tcPr>
            <w:tcW w:type="pct" w:w="12%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 w:val="false"/>
                <w:bCs w:val="false"/>
                <w:color w:val="1A2332"/>
                <w:sz w:val="20"/>
                <w:szCs w:val="20"/>
              </w:rPr>
              <w:t xml:space="preserve">т/ч</w:t>
            </w:r>
          </w:p>
        </w:tc>
        <w:tc>
          <w:tcPr>
            <w:tcW w:type="pct" w:w="12%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 w:val="false"/>
                <w:bCs w:val="false"/>
                <w:color w:val="1A2332"/>
                <w:sz w:val="20"/>
                <w:szCs w:val="20"/>
              </w:rPr>
              <w:t xml:space="preserve">0,1</w:t>
            </w:r>
          </w:p>
        </w:tc>
        <w:tc>
          <w:tcPr>
            <w:tcW w:type="pct" w:w="12%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 w:val="false"/>
                <w:bCs w:val="false"/>
                <w:color w:val="1A2332"/>
                <w:sz w:val="20"/>
                <w:szCs w:val="20"/>
              </w:rPr>
              <w:t xml:space="preserve">0–200</w:t>
            </w:r>
          </w:p>
        </w:tc>
      </w:tr>
      <w:tr>
        <w:trPr>
          <w:cantSplit/>
        </w:trPr>
        <w:tc>
          <w:tcPr>
            <w:tcW w:type="pct" w:w="10%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 w:val="false"/>
                <w:bCs w:val="false"/>
                <w:color w:val="1A2332"/>
                <w:sz w:val="20"/>
                <w:szCs w:val="20"/>
              </w:rPr>
              <w:t xml:space="preserve">19</w:t>
            </w:r>
          </w:p>
        </w:tc>
        <w:tc>
          <w:tcPr>
            <w:tcW w:type="pct" w:w="14%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 w:val="false"/>
                <w:bCs w:val="false"/>
                <w:color w:val="1A2332"/>
                <w:sz w:val="20"/>
                <w:szCs w:val="20"/>
              </w:rPr>
              <w:t xml:space="preserve">li401</w:t>
            </w:r>
          </w:p>
        </w:tc>
        <w:tc>
          <w:tcPr>
            <w:tcW w:type="pct" w:w="40%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 w:val="false"/>
                <w:bCs w:val="false"/>
                <w:color w:val="1A2332"/>
                <w:sz w:val="20"/>
                <w:szCs w:val="20"/>
              </w:rPr>
              <w:t xml:space="preserve">Уровень постели сгустителя</w:t>
            </w:r>
          </w:p>
        </w:tc>
        <w:tc>
          <w:tcPr>
            <w:tcW w:type="pct" w:w="12%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 w:val="false"/>
                <w:bCs w:val="false"/>
                <w:color w:val="1A2332"/>
                <w:sz w:val="20"/>
                <w:szCs w:val="20"/>
              </w:rPr>
              <w:t xml:space="preserve">м</w:t>
            </w:r>
          </w:p>
        </w:tc>
        <w:tc>
          <w:tcPr>
            <w:tcW w:type="pct" w:w="12%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 w:val="false"/>
                <w:bCs w:val="false"/>
                <w:color w:val="1A2332"/>
                <w:sz w:val="20"/>
                <w:szCs w:val="20"/>
              </w:rPr>
              <w:t xml:space="preserve">0,01</w:t>
            </w:r>
          </w:p>
        </w:tc>
        <w:tc>
          <w:tcPr>
            <w:tcW w:type="pct" w:w="12%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 w:val="false"/>
                <w:bCs w:val="false"/>
                <w:color w:val="1A2332"/>
                <w:sz w:val="20"/>
                <w:szCs w:val="20"/>
              </w:rPr>
              <w:t xml:space="preserve">0–8</w:t>
            </w:r>
          </w:p>
        </w:tc>
      </w:tr>
      <w:tr>
        <w:trPr>
          <w:cantSplit/>
        </w:trPr>
        <w:tc>
          <w:tcPr>
            <w:tcW w:type="pct" w:w="10%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 w:val="false"/>
                <w:bCs w:val="false"/>
                <w:color w:val="1A2332"/>
                <w:sz w:val="20"/>
                <w:szCs w:val="20"/>
              </w:rPr>
              <w:t xml:space="preserve">20</w:t>
            </w:r>
          </w:p>
        </w:tc>
        <w:tc>
          <w:tcPr>
            <w:tcW w:type="pct" w:w="14%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 w:val="false"/>
                <w:bCs w:val="false"/>
                <w:color w:val="1A2332"/>
                <w:sz w:val="20"/>
                <w:szCs w:val="20"/>
              </w:rPr>
              <w:t xml:space="preserve">di401</w:t>
            </w:r>
          </w:p>
        </w:tc>
        <w:tc>
          <w:tcPr>
            <w:tcW w:type="pct" w:w="40%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 w:val="false"/>
                <w:bCs w:val="false"/>
                <w:color w:val="1A2332"/>
                <w:sz w:val="20"/>
                <w:szCs w:val="20"/>
              </w:rPr>
              <w:t xml:space="preserve">Плотность сгущённого продукта</w:t>
            </w:r>
          </w:p>
        </w:tc>
        <w:tc>
          <w:tcPr>
            <w:tcW w:type="pct" w:w="12%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 w:val="false"/>
                <w:bCs w:val="false"/>
                <w:color w:val="1A2332"/>
                <w:sz w:val="20"/>
                <w:szCs w:val="20"/>
              </w:rPr>
              <w:t xml:space="preserve">% тв.</w:t>
            </w:r>
          </w:p>
        </w:tc>
        <w:tc>
          <w:tcPr>
            <w:tcW w:type="pct" w:w="12%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 w:val="false"/>
                <w:bCs w:val="false"/>
                <w:color w:val="1A2332"/>
                <w:sz w:val="20"/>
                <w:szCs w:val="20"/>
              </w:rPr>
              <w:t xml:space="preserve">0,1</w:t>
            </w:r>
          </w:p>
        </w:tc>
        <w:tc>
          <w:tcPr>
            <w:tcW w:type="pct" w:w="12%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 w:val="false"/>
                <w:bCs w:val="false"/>
                <w:color w:val="1A2332"/>
                <w:sz w:val="20"/>
                <w:szCs w:val="20"/>
              </w:rPr>
              <w:t xml:space="preserve">20–70</w:t>
            </w:r>
          </w:p>
        </w:tc>
      </w:tr>
      <w:tr>
        <w:trPr>
          <w:cantSplit/>
        </w:trPr>
        <w:tc>
          <w:tcPr>
            <w:tcW w:type="pct" w:w="10%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 w:val="false"/>
                <w:bCs w:val="false"/>
                <w:color w:val="1A2332"/>
                <w:sz w:val="20"/>
                <w:szCs w:val="20"/>
              </w:rPr>
              <w:t xml:space="preserve">21</w:t>
            </w:r>
          </w:p>
        </w:tc>
        <w:tc>
          <w:tcPr>
            <w:tcW w:type="pct" w:w="14%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 w:val="false"/>
                <w:bCs w:val="false"/>
                <w:color w:val="1A2332"/>
                <w:sz w:val="20"/>
                <w:szCs w:val="20"/>
              </w:rPr>
              <w:t xml:space="preserve">ei401</w:t>
            </w:r>
          </w:p>
        </w:tc>
        <w:tc>
          <w:tcPr>
            <w:tcW w:type="pct" w:w="40%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 w:val="false"/>
                <w:bCs w:val="false"/>
                <w:color w:val="1A2332"/>
                <w:sz w:val="20"/>
                <w:szCs w:val="20"/>
              </w:rPr>
              <w:t xml:space="preserve">Момент гребкового устройства</w:t>
            </w:r>
          </w:p>
        </w:tc>
        <w:tc>
          <w:tcPr>
            <w:tcW w:type="pct" w:w="12%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 w:val="false"/>
                <w:bCs w:val="false"/>
                <w:color w:val="1A2332"/>
                <w:sz w:val="20"/>
                <w:szCs w:val="20"/>
              </w:rPr>
              <w:t xml:space="preserve">%</w:t>
            </w:r>
          </w:p>
        </w:tc>
        <w:tc>
          <w:tcPr>
            <w:tcW w:type="pct" w:w="12%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 w:val="false"/>
                <w:bCs w:val="false"/>
                <w:color w:val="1A2332"/>
                <w:sz w:val="20"/>
                <w:szCs w:val="20"/>
              </w:rPr>
              <w:t xml:space="preserve">0,1</w:t>
            </w:r>
          </w:p>
        </w:tc>
        <w:tc>
          <w:tcPr>
            <w:tcW w:type="pct" w:w="12%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 w:val="false"/>
                <w:bCs w:val="false"/>
                <w:color w:val="1A2332"/>
                <w:sz w:val="20"/>
                <w:szCs w:val="20"/>
              </w:rPr>
              <w:t xml:space="preserve">0–100</w:t>
            </w:r>
          </w:p>
        </w:tc>
      </w:tr>
      <w:tr>
        <w:trPr>
          <w:cantSplit/>
        </w:trPr>
        <w:tc>
          <w:tcPr>
            <w:tcW w:type="pct" w:w="10%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 w:val="false"/>
                <w:bCs w:val="false"/>
                <w:color w:val="1A2332"/>
                <w:sz w:val="20"/>
                <w:szCs w:val="20"/>
              </w:rPr>
              <w:t xml:space="preserve">22</w:t>
            </w:r>
          </w:p>
        </w:tc>
        <w:tc>
          <w:tcPr>
            <w:tcW w:type="pct" w:w="14%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 w:val="false"/>
                <w:bCs w:val="false"/>
                <w:color w:val="1A2332"/>
                <w:sz w:val="20"/>
                <w:szCs w:val="20"/>
              </w:rPr>
              <w:t xml:space="preserve">fi401</w:t>
            </w:r>
          </w:p>
        </w:tc>
        <w:tc>
          <w:tcPr>
            <w:tcW w:type="pct" w:w="40%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 w:val="false"/>
                <w:bCs w:val="false"/>
                <w:color w:val="1A2332"/>
                <w:sz w:val="20"/>
                <w:szCs w:val="20"/>
              </w:rPr>
              <w:t xml:space="preserve">Доза флокулянта</w:t>
            </w:r>
          </w:p>
        </w:tc>
        <w:tc>
          <w:tcPr>
            <w:tcW w:type="pct" w:w="12%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 w:val="false"/>
                <w:bCs w:val="false"/>
                <w:color w:val="1A2332"/>
                <w:sz w:val="20"/>
                <w:szCs w:val="20"/>
              </w:rPr>
              <w:t xml:space="preserve">г/т</w:t>
            </w:r>
          </w:p>
        </w:tc>
        <w:tc>
          <w:tcPr>
            <w:tcW w:type="pct" w:w="12%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 w:val="false"/>
                <w:bCs w:val="false"/>
                <w:color w:val="1A2332"/>
                <w:sz w:val="20"/>
                <w:szCs w:val="20"/>
              </w:rPr>
              <w:t xml:space="preserve">0,1</w:t>
            </w:r>
          </w:p>
        </w:tc>
        <w:tc>
          <w:tcPr>
            <w:tcW w:type="pct" w:w="12%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 w:val="false"/>
                <w:bCs w:val="false"/>
                <w:color w:val="1A2332"/>
                <w:sz w:val="20"/>
                <w:szCs w:val="20"/>
              </w:rPr>
              <w:t xml:space="preserve">0–50</w:t>
            </w:r>
          </w:p>
        </w:tc>
      </w:tr>
      <w:tr>
        <w:trPr>
          <w:cantSplit/>
        </w:trPr>
        <w:tc>
          <w:tcPr>
            <w:tcW w:type="pct" w:w="10%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 w:val="false"/>
                <w:bCs w:val="false"/>
                <w:color w:val="1A2332"/>
                <w:sz w:val="20"/>
                <w:szCs w:val="20"/>
              </w:rPr>
              <w:t xml:space="preserve">23</w:t>
            </w:r>
          </w:p>
        </w:tc>
        <w:tc>
          <w:tcPr>
            <w:tcW w:type="pct" w:w="14%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 w:val="false"/>
                <w:bCs w:val="false"/>
                <w:color w:val="1A2332"/>
                <w:sz w:val="20"/>
                <w:szCs w:val="20"/>
              </w:rPr>
              <w:t xml:space="preserve">pi501</w:t>
            </w:r>
          </w:p>
        </w:tc>
        <w:tc>
          <w:tcPr>
            <w:tcW w:type="pct" w:w="40%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 w:val="false"/>
                <w:bCs w:val="false"/>
                <w:color w:val="1A2332"/>
                <w:sz w:val="20"/>
                <w:szCs w:val="20"/>
              </w:rPr>
              <w:t xml:space="preserve">Вакуум фильтра</w:t>
            </w:r>
          </w:p>
        </w:tc>
        <w:tc>
          <w:tcPr>
            <w:tcW w:type="pct" w:w="12%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 w:val="false"/>
                <w:bCs w:val="false"/>
                <w:color w:val="1A2332"/>
                <w:sz w:val="20"/>
                <w:szCs w:val="20"/>
              </w:rPr>
              <w:t xml:space="preserve">кПа</w:t>
            </w:r>
          </w:p>
        </w:tc>
        <w:tc>
          <w:tcPr>
            <w:tcW w:type="pct" w:w="12%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 w:val="false"/>
                <w:bCs w:val="false"/>
                <w:color w:val="1A2332"/>
                <w:sz w:val="20"/>
                <w:szCs w:val="20"/>
              </w:rPr>
              <w:t xml:space="preserve">0,1</w:t>
            </w:r>
          </w:p>
        </w:tc>
        <w:tc>
          <w:tcPr>
            <w:tcW w:type="pct" w:w="12%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 w:val="false"/>
                <w:bCs w:val="false"/>
                <w:color w:val="1A2332"/>
                <w:sz w:val="20"/>
                <w:szCs w:val="20"/>
              </w:rPr>
              <w:t xml:space="preserve">0–80</w:t>
            </w:r>
          </w:p>
        </w:tc>
      </w:tr>
      <w:tr>
        <w:trPr>
          <w:cantSplit/>
        </w:trPr>
        <w:tc>
          <w:tcPr>
            <w:tcW w:type="pct" w:w="10%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 w:val="false"/>
                <w:bCs w:val="false"/>
                <w:color w:val="1A2332"/>
                <w:sz w:val="20"/>
                <w:szCs w:val="20"/>
              </w:rPr>
              <w:t xml:space="preserve">24</w:t>
            </w:r>
          </w:p>
        </w:tc>
        <w:tc>
          <w:tcPr>
            <w:tcW w:type="pct" w:w="14%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 w:val="false"/>
                <w:bCs w:val="false"/>
                <w:color w:val="1A2332"/>
                <w:sz w:val="20"/>
                <w:szCs w:val="20"/>
              </w:rPr>
              <w:t xml:space="preserve">mi501</w:t>
            </w:r>
          </w:p>
        </w:tc>
        <w:tc>
          <w:tcPr>
            <w:tcW w:type="pct" w:w="40%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 w:val="false"/>
                <w:bCs w:val="false"/>
                <w:color w:val="1A2332"/>
                <w:sz w:val="20"/>
                <w:szCs w:val="20"/>
              </w:rPr>
              <w:t xml:space="preserve">Влажность кека</w:t>
            </w:r>
          </w:p>
        </w:tc>
        <w:tc>
          <w:tcPr>
            <w:tcW w:type="pct" w:w="12%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 w:val="false"/>
                <w:bCs w:val="false"/>
                <w:color w:val="1A2332"/>
                <w:sz w:val="20"/>
                <w:szCs w:val="20"/>
              </w:rPr>
              <w:t xml:space="preserve">%</w:t>
            </w:r>
          </w:p>
        </w:tc>
        <w:tc>
          <w:tcPr>
            <w:tcW w:type="pct" w:w="12%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 w:val="false"/>
                <w:bCs w:val="false"/>
                <w:color w:val="1A2332"/>
                <w:sz w:val="20"/>
                <w:szCs w:val="20"/>
              </w:rPr>
              <w:t xml:space="preserve">0,01</w:t>
            </w:r>
          </w:p>
        </w:tc>
        <w:tc>
          <w:tcPr>
            <w:tcW w:type="pct" w:w="12%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 w:val="false"/>
                <w:bCs w:val="false"/>
                <w:color w:val="1A2332"/>
                <w:sz w:val="20"/>
                <w:szCs w:val="20"/>
              </w:rPr>
              <w:t xml:space="preserve">4–25</w:t>
            </w:r>
          </w:p>
        </w:tc>
      </w:tr>
      <w:tr>
        <w:trPr>
          <w:cantSplit/>
        </w:trPr>
        <w:tc>
          <w:tcPr>
            <w:tcW w:type="pct" w:w="10%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 w:val="false"/>
                <w:bCs w:val="false"/>
                <w:color w:val="1A2332"/>
                <w:sz w:val="20"/>
                <w:szCs w:val="20"/>
              </w:rPr>
              <w:t xml:space="preserve">25</w:t>
            </w:r>
          </w:p>
        </w:tc>
        <w:tc>
          <w:tcPr>
            <w:tcW w:type="pct" w:w="14%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 w:val="false"/>
                <w:bCs w:val="false"/>
                <w:color w:val="1A2332"/>
                <w:sz w:val="20"/>
                <w:szCs w:val="20"/>
              </w:rPr>
              <w:t xml:space="preserve">wi501</w:t>
            </w:r>
          </w:p>
        </w:tc>
        <w:tc>
          <w:tcPr>
            <w:tcW w:type="pct" w:w="40%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 w:val="false"/>
                <w:bCs w:val="false"/>
                <w:color w:val="1A2332"/>
                <w:sz w:val="20"/>
                <w:szCs w:val="20"/>
              </w:rPr>
              <w:t xml:space="preserve">Производительность по сухому кеку</w:t>
            </w:r>
          </w:p>
        </w:tc>
        <w:tc>
          <w:tcPr>
            <w:tcW w:type="pct" w:w="12%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 w:val="false"/>
                <w:bCs w:val="false"/>
                <w:color w:val="1A2332"/>
                <w:sz w:val="20"/>
                <w:szCs w:val="20"/>
              </w:rPr>
              <w:t xml:space="preserve">т/ч</w:t>
            </w:r>
          </w:p>
        </w:tc>
        <w:tc>
          <w:tcPr>
            <w:tcW w:type="pct" w:w="12%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 w:val="false"/>
                <w:bCs w:val="false"/>
                <w:color w:val="1A2332"/>
                <w:sz w:val="20"/>
                <w:szCs w:val="20"/>
              </w:rPr>
              <w:t xml:space="preserve">0,01</w:t>
            </w:r>
          </w:p>
        </w:tc>
        <w:tc>
          <w:tcPr>
            <w:tcW w:type="pct" w:w="12%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 w:val="false"/>
                <w:bCs w:val="false"/>
                <w:color w:val="1A2332"/>
                <w:sz w:val="20"/>
                <w:szCs w:val="20"/>
              </w:rPr>
              <w:t xml:space="preserve">0–10</w:t>
            </w:r>
          </w:p>
        </w:tc>
      </w:tr>
      <w:tr>
        <w:trPr>
          <w:cantSplit/>
        </w:trPr>
        <w:tc>
          <w:tcPr>
            <w:tcW w:type="pct" w:w="10%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 w:val="false"/>
                <w:bCs w:val="false"/>
                <w:color w:val="1A2332"/>
                <w:sz w:val="20"/>
                <w:szCs w:val="20"/>
              </w:rPr>
              <w:t xml:space="preserve">26</w:t>
            </w:r>
          </w:p>
        </w:tc>
        <w:tc>
          <w:tcPr>
            <w:tcW w:type="pct" w:w="14%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 w:val="false"/>
                <w:bCs w:val="false"/>
                <w:color w:val="1A2332"/>
                <w:sz w:val="20"/>
                <w:szCs w:val="20"/>
              </w:rPr>
              <w:t xml:space="preserve">tit101</w:t>
            </w:r>
          </w:p>
        </w:tc>
        <w:tc>
          <w:tcPr>
            <w:tcW w:type="pct" w:w="40%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 w:val="false"/>
                <w:bCs w:val="false"/>
                <w:color w:val="1A2332"/>
                <w:sz w:val="20"/>
                <w:szCs w:val="20"/>
              </w:rPr>
              <w:t xml:space="preserve">Температура пульпы</w:t>
            </w:r>
          </w:p>
        </w:tc>
        <w:tc>
          <w:tcPr>
            <w:tcW w:type="pct" w:w="12%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 w:val="false"/>
                <w:bCs w:val="false"/>
                <w:color w:val="1A2332"/>
                <w:sz w:val="20"/>
                <w:szCs w:val="20"/>
              </w:rPr>
              <w:t xml:space="preserve">°C</w:t>
            </w:r>
          </w:p>
        </w:tc>
        <w:tc>
          <w:tcPr>
            <w:tcW w:type="pct" w:w="12%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 w:val="false"/>
                <w:bCs w:val="false"/>
                <w:color w:val="1A2332"/>
                <w:sz w:val="20"/>
                <w:szCs w:val="20"/>
              </w:rPr>
              <w:t xml:space="preserve">0,1</w:t>
            </w:r>
          </w:p>
        </w:tc>
        <w:tc>
          <w:tcPr>
            <w:tcW w:type="pct" w:w="12%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 w:val="false"/>
                <w:bCs w:val="false"/>
                <w:color w:val="1A2332"/>
                <w:sz w:val="20"/>
                <w:szCs w:val="20"/>
              </w:rPr>
              <w:t xml:space="preserve">5–45</w:t>
            </w:r>
          </w:p>
        </w:tc>
      </w:tr>
      <w:tr>
        <w:trPr>
          <w:cantSplit/>
        </w:trPr>
        <w:tc>
          <w:tcPr>
            <w:tcW w:type="pct" w:w="10%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 w:val="false"/>
                <w:bCs w:val="false"/>
                <w:color w:val="1A2332"/>
                <w:sz w:val="20"/>
                <w:szCs w:val="20"/>
              </w:rPr>
              <w:t xml:space="preserve">27</w:t>
            </w:r>
          </w:p>
        </w:tc>
        <w:tc>
          <w:tcPr>
            <w:tcW w:type="pct" w:w="14%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 w:val="false"/>
                <w:bCs w:val="false"/>
                <w:color w:val="1A2332"/>
                <w:sz w:val="20"/>
                <w:szCs w:val="20"/>
              </w:rPr>
              <w:t xml:space="preserve">si101</w:t>
            </w:r>
          </w:p>
        </w:tc>
        <w:tc>
          <w:tcPr>
            <w:tcW w:type="pct" w:w="40%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 w:val="false"/>
                <w:bCs w:val="false"/>
                <w:color w:val="1A2332"/>
                <w:sz w:val="20"/>
                <w:szCs w:val="20"/>
              </w:rPr>
              <w:t xml:space="preserve">Уровень рудного бункера</w:t>
            </w:r>
          </w:p>
        </w:tc>
        <w:tc>
          <w:tcPr>
            <w:tcW w:type="pct" w:w="12%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 w:val="false"/>
                <w:bCs w:val="false"/>
                <w:color w:val="1A2332"/>
                <w:sz w:val="20"/>
                <w:szCs w:val="20"/>
              </w:rPr>
              <w:t xml:space="preserve">%</w:t>
            </w:r>
          </w:p>
        </w:tc>
        <w:tc>
          <w:tcPr>
            <w:tcW w:type="pct" w:w="12%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 w:val="false"/>
                <w:bCs w:val="false"/>
                <w:color w:val="1A2332"/>
                <w:sz w:val="20"/>
                <w:szCs w:val="20"/>
              </w:rPr>
              <w:t xml:space="preserve">0,1</w:t>
            </w:r>
          </w:p>
        </w:tc>
        <w:tc>
          <w:tcPr>
            <w:tcW w:type="pct" w:w="12%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 w:val="false"/>
                <w:bCs w:val="false"/>
                <w:color w:val="1A2332"/>
                <w:sz w:val="20"/>
                <w:szCs w:val="20"/>
              </w:rPr>
              <w:t xml:space="preserve">0–100</w:t>
            </w:r>
          </w:p>
        </w:tc>
      </w:tr>
    </w:tbl>
    <w:p>
      <w:pPr>
        <w:pStyle w:val="Heading2"/>
        <w:spacing w:after="120" w:before="280" w:line="312"/>
      </w:pPr>
      <w:r>
        <w:rPr>
          <w:rFonts w:ascii="Times New Roman" w:hAnsi="Times New Roman"/>
          <w:b/>
          <w:bCs/>
          <w:color w:val="0F172A"/>
          <w:sz w:val="28"/>
          <w:szCs w:val="28"/>
        </w:rPr>
        <w:t xml:space="preserve">6.2. Актуаторы и сценарные регистры (Holding Registers, FC3/FC6)</w:t>
      </w:r>
    </w:p>
    <w:p>
      <w:pPr>
        <w:keepNext/>
        <w:spacing w:after="80" w:before="160" w:line="312"/>
      </w:pPr>
      <w:r>
        <w:rPr>
          <w:rFonts w:ascii="Times New Roman" w:hAnsi="Times New Roman"/>
          <w:b/>
          <w:bCs/>
          <w:color w:val="506070"/>
          <w:sz w:val="21"/>
          <w:szCs w:val="21"/>
        </w:rPr>
        <w:t xml:space="preserve">Таблица 7 — Карта регистров актуаторов</w:t>
      </w:r>
    </w:p>
    <w:tbl>
      <w:tblPr>
        <w:tblW w:type="pct" w:w="100%"/>
        <w:tblBorders>
          <w:top w:val="single" w:color="9AA6B2" w:sz="4"/>
          <w:left w:val="none" w:color="FFFFFF" w:sz="0"/>
          <w:bottom w:val="single" w:color="9AA6B2" w:sz="4"/>
          <w:right w:val="none" w:color="FFFFFF" w:sz="0"/>
          <w:insideH w:val="single" w:color="D8DEE6" w:sz="2"/>
          <w:insideV w:val="none" w:color="FFFFFF" w:sz="0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10%"/>
            <w:shd w:fill="E8EEF5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/>
                <w:bCs/>
                <w:color w:val="0F172A"/>
                <w:sz w:val="20"/>
                <w:szCs w:val="20"/>
              </w:rPr>
              <w:t xml:space="preserve">Адрес</w:t>
            </w:r>
          </w:p>
        </w:tc>
        <w:tc>
          <w:tcPr>
            <w:tcW w:type="pct" w:w="18%"/>
            <w:shd w:fill="E8EEF5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/>
                <w:bCs/>
                <w:color w:val="0F172A"/>
                <w:sz w:val="20"/>
                <w:szCs w:val="20"/>
              </w:rPr>
              <w:t xml:space="preserve">Тег</w:t>
            </w:r>
          </w:p>
        </w:tc>
        <w:tc>
          <w:tcPr>
            <w:tcW w:type="pct" w:w="40%"/>
            <w:shd w:fill="E8EEF5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/>
                <w:bCs/>
                <w:color w:val="0F172A"/>
                <w:sz w:val="20"/>
                <w:szCs w:val="20"/>
              </w:rPr>
              <w:t xml:space="preserve">Описание</w:t>
            </w:r>
          </w:p>
        </w:tc>
        <w:tc>
          <w:tcPr>
            <w:tcW w:type="pct" w:w="12%"/>
            <w:shd w:fill="E8EEF5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/>
                <w:bCs/>
                <w:color w:val="0F172A"/>
                <w:sz w:val="20"/>
                <w:szCs w:val="20"/>
              </w:rPr>
              <w:t xml:space="preserve">Ед.</w:t>
            </w:r>
          </w:p>
        </w:tc>
        <w:tc>
          <w:tcPr>
            <w:tcW w:type="pct" w:w="20%"/>
            <w:shd w:fill="E8EEF5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/>
                <w:bCs/>
                <w:color w:val="0F172A"/>
                <w:sz w:val="20"/>
                <w:szCs w:val="20"/>
              </w:rPr>
              <w:t xml:space="preserve">Диапазон записи</w:t>
            </w:r>
          </w:p>
        </w:tc>
      </w:tr>
      <w:tr>
        <w:trPr>
          <w:cantSplit/>
        </w:trPr>
        <w:tc>
          <w:tcPr>
            <w:tcW w:type="pct" w:w="10%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 w:val="false"/>
                <w:bCs w:val="false"/>
                <w:color w:val="1A2332"/>
                <w:sz w:val="20"/>
                <w:szCs w:val="20"/>
              </w:rPr>
              <w:t xml:space="preserve">0</w:t>
            </w:r>
          </w:p>
        </w:tc>
        <w:tc>
          <w:tcPr>
            <w:tcW w:type="pct" w:w="18%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 w:val="false"/>
                <w:bCs w:val="false"/>
                <w:color w:val="1A2332"/>
                <w:sz w:val="20"/>
                <w:szCs w:val="20"/>
              </w:rPr>
              <w:t xml:space="preserve">hc101</w:t>
            </w:r>
          </w:p>
        </w:tc>
        <w:tc>
          <w:tcPr>
            <w:tcW w:type="pct" w:w="40%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 w:val="false"/>
                <w:bCs w:val="false"/>
                <w:color w:val="1A2332"/>
                <w:sz w:val="20"/>
                <w:szCs w:val="20"/>
              </w:rPr>
              <w:t xml:space="preserve">Задание питателя</w:t>
            </w:r>
          </w:p>
        </w:tc>
        <w:tc>
          <w:tcPr>
            <w:tcW w:type="pct" w:w="12%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 w:val="false"/>
                <w:bCs w:val="false"/>
                <w:color w:val="1A2332"/>
                <w:sz w:val="20"/>
                <w:szCs w:val="20"/>
              </w:rPr>
              <w:t xml:space="preserve">т/ч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 w:val="false"/>
                <w:bCs w:val="false"/>
                <w:color w:val="1A2332"/>
                <w:sz w:val="20"/>
                <w:szCs w:val="20"/>
              </w:rPr>
              <w:t xml:space="preserve">0–200</w:t>
            </w:r>
          </w:p>
        </w:tc>
      </w:tr>
      <w:tr>
        <w:trPr>
          <w:cantSplit/>
        </w:trPr>
        <w:tc>
          <w:tcPr>
            <w:tcW w:type="pct" w:w="10%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 w:val="false"/>
                <w:bCs w:val="false"/>
                <w:color w:val="1A2332"/>
                <w:sz w:val="20"/>
                <w:szCs w:val="20"/>
              </w:rPr>
              <w:t xml:space="preserve">1</w:t>
            </w:r>
          </w:p>
        </w:tc>
        <w:tc>
          <w:tcPr>
            <w:tcW w:type="pct" w:w="18%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 w:val="false"/>
                <w:bCs w:val="false"/>
                <w:color w:val="1A2332"/>
                <w:sz w:val="20"/>
                <w:szCs w:val="20"/>
              </w:rPr>
              <w:t xml:space="preserve">fc201</w:t>
            </w:r>
          </w:p>
        </w:tc>
        <w:tc>
          <w:tcPr>
            <w:tcW w:type="pct" w:w="40%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 w:val="false"/>
                <w:bCs w:val="false"/>
                <w:color w:val="1A2332"/>
                <w:sz w:val="20"/>
                <w:szCs w:val="20"/>
              </w:rPr>
              <w:t xml:space="preserve">Клапан воды мельницы</w:t>
            </w:r>
          </w:p>
        </w:tc>
        <w:tc>
          <w:tcPr>
            <w:tcW w:type="pct" w:w="12%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 w:val="false"/>
                <w:bCs w:val="false"/>
                <w:color w:val="1A2332"/>
                <w:sz w:val="20"/>
                <w:szCs w:val="20"/>
              </w:rPr>
              <w:t xml:space="preserve">%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 w:val="false"/>
                <w:bCs w:val="false"/>
                <w:color w:val="1A2332"/>
                <w:sz w:val="20"/>
                <w:szCs w:val="20"/>
              </w:rPr>
              <w:t xml:space="preserve">0–100</w:t>
            </w:r>
          </w:p>
        </w:tc>
      </w:tr>
      <w:tr>
        <w:trPr>
          <w:cantSplit/>
        </w:trPr>
        <w:tc>
          <w:tcPr>
            <w:tcW w:type="pct" w:w="10%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 w:val="false"/>
                <w:bCs w:val="false"/>
                <w:color w:val="1A2332"/>
                <w:sz w:val="20"/>
                <w:szCs w:val="20"/>
              </w:rPr>
              <w:t xml:space="preserve">2</w:t>
            </w:r>
          </w:p>
        </w:tc>
        <w:tc>
          <w:tcPr>
            <w:tcW w:type="pct" w:w="18%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 w:val="false"/>
                <w:bCs w:val="false"/>
                <w:color w:val="1A2332"/>
                <w:sz w:val="20"/>
                <w:szCs w:val="20"/>
              </w:rPr>
              <w:t xml:space="preserve">fc301</w:t>
            </w:r>
          </w:p>
        </w:tc>
        <w:tc>
          <w:tcPr>
            <w:tcW w:type="pct" w:w="40%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 w:val="false"/>
                <w:bCs w:val="false"/>
                <w:color w:val="1A2332"/>
                <w:sz w:val="20"/>
                <w:szCs w:val="20"/>
              </w:rPr>
              <w:t xml:space="preserve">Задание насоса собирателя</w:t>
            </w:r>
          </w:p>
        </w:tc>
        <w:tc>
          <w:tcPr>
            <w:tcW w:type="pct" w:w="12%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 w:val="false"/>
                <w:bCs w:val="false"/>
                <w:color w:val="1A2332"/>
                <w:sz w:val="20"/>
                <w:szCs w:val="20"/>
              </w:rPr>
              <w:t xml:space="preserve">мл/мин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 w:val="false"/>
                <w:bCs w:val="false"/>
                <w:color w:val="1A2332"/>
                <w:sz w:val="20"/>
                <w:szCs w:val="20"/>
              </w:rPr>
              <w:t xml:space="preserve">0–500</w:t>
            </w:r>
          </w:p>
        </w:tc>
      </w:tr>
      <w:tr>
        <w:trPr>
          <w:cantSplit/>
        </w:trPr>
        <w:tc>
          <w:tcPr>
            <w:tcW w:type="pct" w:w="10%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 w:val="false"/>
                <w:bCs w:val="false"/>
                <w:color w:val="1A2332"/>
                <w:sz w:val="20"/>
                <w:szCs w:val="20"/>
              </w:rPr>
              <w:t xml:space="preserve">3</w:t>
            </w:r>
          </w:p>
        </w:tc>
        <w:tc>
          <w:tcPr>
            <w:tcW w:type="pct" w:w="18%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 w:val="false"/>
                <w:bCs w:val="false"/>
                <w:color w:val="1A2332"/>
                <w:sz w:val="20"/>
                <w:szCs w:val="20"/>
              </w:rPr>
              <w:t xml:space="preserve">fc302</w:t>
            </w:r>
          </w:p>
        </w:tc>
        <w:tc>
          <w:tcPr>
            <w:tcW w:type="pct" w:w="40%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 w:val="false"/>
                <w:bCs w:val="false"/>
                <w:color w:val="1A2332"/>
                <w:sz w:val="20"/>
                <w:szCs w:val="20"/>
              </w:rPr>
              <w:t xml:space="preserve">Задание насоса вспенивателя</w:t>
            </w:r>
          </w:p>
        </w:tc>
        <w:tc>
          <w:tcPr>
            <w:tcW w:type="pct" w:w="12%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 w:val="false"/>
                <w:bCs w:val="false"/>
                <w:color w:val="1A2332"/>
                <w:sz w:val="20"/>
                <w:szCs w:val="20"/>
              </w:rPr>
              <w:t xml:space="preserve">мл/мин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 w:val="false"/>
                <w:bCs w:val="false"/>
                <w:color w:val="1A2332"/>
                <w:sz w:val="20"/>
                <w:szCs w:val="20"/>
              </w:rPr>
              <w:t xml:space="preserve">0–300</w:t>
            </w:r>
          </w:p>
        </w:tc>
      </w:tr>
      <w:tr>
        <w:trPr>
          <w:cantSplit/>
        </w:trPr>
        <w:tc>
          <w:tcPr>
            <w:tcW w:type="pct" w:w="10%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 w:val="false"/>
                <w:bCs w:val="false"/>
                <w:color w:val="1A2332"/>
                <w:sz w:val="20"/>
                <w:szCs w:val="20"/>
              </w:rPr>
              <w:t xml:space="preserve">4</w:t>
            </w:r>
          </w:p>
        </w:tc>
        <w:tc>
          <w:tcPr>
            <w:tcW w:type="pct" w:w="18%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 w:val="false"/>
                <w:bCs w:val="false"/>
                <w:color w:val="1A2332"/>
                <w:sz w:val="20"/>
                <w:szCs w:val="20"/>
              </w:rPr>
              <w:t xml:space="preserve">lc301</w:t>
            </w:r>
          </w:p>
        </w:tc>
        <w:tc>
          <w:tcPr>
            <w:tcW w:type="pct" w:w="40%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 w:val="false"/>
                <w:bCs w:val="false"/>
                <w:color w:val="1A2332"/>
                <w:sz w:val="20"/>
                <w:szCs w:val="20"/>
              </w:rPr>
              <w:t xml:space="preserve">Хвостовая задвижка флотомашины</w:t>
            </w:r>
          </w:p>
        </w:tc>
        <w:tc>
          <w:tcPr>
            <w:tcW w:type="pct" w:w="12%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 w:val="false"/>
                <w:bCs w:val="false"/>
                <w:color w:val="1A2332"/>
                <w:sz w:val="20"/>
                <w:szCs w:val="20"/>
              </w:rPr>
              <w:t xml:space="preserve">%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 w:val="false"/>
                <w:bCs w:val="false"/>
                <w:color w:val="1A2332"/>
                <w:sz w:val="20"/>
                <w:szCs w:val="20"/>
              </w:rPr>
              <w:t xml:space="preserve">0–100</w:t>
            </w:r>
          </w:p>
        </w:tc>
      </w:tr>
      <w:tr>
        <w:trPr>
          <w:cantSplit/>
        </w:trPr>
        <w:tc>
          <w:tcPr>
            <w:tcW w:type="pct" w:w="10%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 w:val="false"/>
                <w:bCs w:val="false"/>
                <w:color w:val="1A2332"/>
                <w:sz w:val="20"/>
                <w:szCs w:val="20"/>
              </w:rPr>
              <w:t xml:space="preserve">5</w:t>
            </w:r>
          </w:p>
        </w:tc>
        <w:tc>
          <w:tcPr>
            <w:tcW w:type="pct" w:w="18%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 w:val="false"/>
                <w:bCs w:val="false"/>
                <w:color w:val="1A2332"/>
                <w:sz w:val="20"/>
                <w:szCs w:val="20"/>
              </w:rPr>
              <w:t xml:space="preserve">fc401</w:t>
            </w:r>
          </w:p>
        </w:tc>
        <w:tc>
          <w:tcPr>
            <w:tcW w:type="pct" w:w="40%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 w:val="false"/>
                <w:bCs w:val="false"/>
                <w:color w:val="1A2332"/>
                <w:sz w:val="20"/>
                <w:szCs w:val="20"/>
              </w:rPr>
              <w:t xml:space="preserve">Скорость насоса разгрузки сгустителя</w:t>
            </w:r>
          </w:p>
        </w:tc>
        <w:tc>
          <w:tcPr>
            <w:tcW w:type="pct" w:w="12%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 w:val="false"/>
                <w:bCs w:val="false"/>
                <w:color w:val="1A2332"/>
                <w:sz w:val="20"/>
                <w:szCs w:val="20"/>
              </w:rPr>
              <w:t xml:space="preserve">%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 w:val="false"/>
                <w:bCs w:val="false"/>
                <w:color w:val="1A2332"/>
                <w:sz w:val="20"/>
                <w:szCs w:val="20"/>
              </w:rPr>
              <w:t xml:space="preserve">0–100</w:t>
            </w:r>
          </w:p>
        </w:tc>
      </w:tr>
      <w:tr>
        <w:trPr>
          <w:cantSplit/>
        </w:trPr>
        <w:tc>
          <w:tcPr>
            <w:tcW w:type="pct" w:w="10%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 w:val="false"/>
                <w:bCs w:val="false"/>
                <w:color w:val="1A2332"/>
                <w:sz w:val="20"/>
                <w:szCs w:val="20"/>
              </w:rPr>
              <w:t xml:space="preserve">6</w:t>
            </w:r>
          </w:p>
        </w:tc>
        <w:tc>
          <w:tcPr>
            <w:tcW w:type="pct" w:w="18%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 w:val="false"/>
                <w:bCs w:val="false"/>
                <w:color w:val="1A2332"/>
                <w:sz w:val="20"/>
                <w:szCs w:val="20"/>
              </w:rPr>
              <w:t xml:space="preserve">hi501</w:t>
            </w:r>
          </w:p>
        </w:tc>
        <w:tc>
          <w:tcPr>
            <w:tcW w:type="pct" w:w="40%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 w:val="false"/>
                <w:bCs w:val="false"/>
                <w:color w:val="1A2332"/>
                <w:sz w:val="20"/>
                <w:szCs w:val="20"/>
              </w:rPr>
              <w:t xml:space="preserve">Время цикла фильтра</w:t>
            </w:r>
          </w:p>
        </w:tc>
        <w:tc>
          <w:tcPr>
            <w:tcW w:type="pct" w:w="12%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 w:val="false"/>
                <w:bCs w:val="false"/>
                <w:color w:val="1A2332"/>
                <w:sz w:val="20"/>
                <w:szCs w:val="20"/>
              </w:rPr>
              <w:t xml:space="preserve">с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 w:val="false"/>
                <w:bCs w:val="false"/>
                <w:color w:val="1A2332"/>
                <w:sz w:val="20"/>
                <w:szCs w:val="20"/>
              </w:rPr>
              <w:t xml:space="preserve">10–120</w:t>
            </w:r>
          </w:p>
        </w:tc>
      </w:tr>
      <w:tr>
        <w:trPr>
          <w:cantSplit/>
        </w:trPr>
        <w:tc>
          <w:tcPr>
            <w:tcW w:type="pct" w:w="10%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 w:val="false"/>
                <w:bCs w:val="false"/>
                <w:color w:val="1A2332"/>
                <w:sz w:val="20"/>
                <w:szCs w:val="20"/>
              </w:rPr>
              <w:t xml:space="preserve">7–8</w:t>
            </w:r>
          </w:p>
        </w:tc>
        <w:tc>
          <w:tcPr>
            <w:tcW w:type="pct" w:w="18%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 w:val="false"/>
                <w:bCs w:val="false"/>
                <w:color w:val="1A2332"/>
                <w:sz w:val="20"/>
                <w:szCs w:val="20"/>
              </w:rPr>
              <w:t xml:space="preserve">simcmd / simval</w:t>
            </w:r>
          </w:p>
        </w:tc>
        <w:tc>
          <w:tcPr>
            <w:tcW w:type="pct" w:w="40%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 w:val="false"/>
                <w:bCs w:val="false"/>
                <w:color w:val="1A2332"/>
                <w:sz w:val="20"/>
                <w:szCs w:val="20"/>
              </w:rPr>
              <w:t xml:space="preserve">Сценарные регистры стенда (код и параметр)</w:t>
            </w:r>
          </w:p>
        </w:tc>
        <w:tc>
          <w:tcPr>
            <w:tcW w:type="pct" w:w="12%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 w:val="false"/>
                <w:bCs w:val="false"/>
                <w:color w:val="1A2332"/>
                <w:sz w:val="20"/>
                <w:szCs w:val="20"/>
              </w:rPr>
              <w:t xml:space="preserve">—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 w:val="false"/>
                <w:bCs w:val="false"/>
                <w:color w:val="1A2332"/>
                <w:sz w:val="20"/>
                <w:szCs w:val="20"/>
              </w:rPr>
              <w:t xml:space="preserve">0–255 / ±32767</w:t>
            </w:r>
          </w:p>
        </w:tc>
      </w:tr>
    </w:tbl>
    <w:p>
      <w:pPr>
        <w:pStyle w:val="Heading1"/>
        <w:spacing w:after="160" w:before="400" w:line="312"/>
      </w:pPr>
      <w:r>
        <w:rPr>
          <w:rFonts w:ascii="Times New Roman" w:hAnsi="Times New Roman"/>
          <w:b/>
          <w:bCs/>
          <w:color w:val="0F172A"/>
          <w:sz w:val="32"/>
          <w:szCs w:val="32"/>
        </w:rPr>
        <w:t xml:space="preserve">7. Технические характеристики</w:t>
      </w:r>
    </w:p>
    <w:p>
      <w:pPr>
        <w:keepNext/>
        <w:spacing w:after="80" w:before="160" w:line="312"/>
      </w:pPr>
      <w:r>
        <w:rPr>
          <w:rFonts w:ascii="Times New Roman" w:hAnsi="Times New Roman"/>
          <w:b/>
          <w:bCs/>
          <w:color w:val="506070"/>
          <w:sz w:val="21"/>
          <w:szCs w:val="21"/>
        </w:rPr>
        <w:t xml:space="preserve">Таблица 8 — Нефункциональные показатели</w:t>
      </w:r>
    </w:p>
    <w:tbl>
      <w:tblPr>
        <w:tblW w:type="pct" w:w="100%"/>
        <w:tblBorders>
          <w:top w:val="single" w:color="9AA6B2" w:sz="4"/>
          <w:left w:val="none" w:color="FFFFFF" w:sz="0"/>
          <w:bottom w:val="single" w:color="9AA6B2" w:sz="4"/>
          <w:right w:val="none" w:color="FFFFFF" w:sz="0"/>
          <w:insideH w:val="single" w:color="D8DEE6" w:sz="2"/>
          <w:insideV w:val="none" w:color="FFFFFF" w:sz="0"/>
        </w:tblBorders>
      </w:tblPr>
      <w:tblGrid>
        <w:gridCol w:w="100"/>
        <w:gridCol w:w="100"/>
      </w:tblGrid>
      <w:tr>
        <w:trPr>
          <w:cantSplit/>
          <w:tblHeader/>
        </w:trPr>
        <w:tc>
          <w:tcPr>
            <w:tcW w:type="pct" w:w="42%"/>
            <w:shd w:fill="E8EEF5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/>
                <w:bCs/>
                <w:color w:val="0F172A"/>
                <w:sz w:val="20"/>
                <w:szCs w:val="20"/>
              </w:rPr>
              <w:t xml:space="preserve">Показатель</w:t>
            </w:r>
          </w:p>
        </w:tc>
        <w:tc>
          <w:tcPr>
            <w:tcW w:type="pct" w:w="58%"/>
            <w:shd w:fill="E8EEF5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/>
                <w:bCs/>
                <w:color w:val="0F172A"/>
                <w:sz w:val="20"/>
                <w:szCs w:val="20"/>
              </w:rPr>
              <w:t xml:space="preserve">Значение</w:t>
            </w:r>
          </w:p>
        </w:tc>
      </w:tr>
      <w:tr>
        <w:trPr>
          <w:cantSplit/>
        </w:trPr>
        <w:tc>
          <w:tcPr>
            <w:tcW w:type="pct" w:w="42%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 w:val="false"/>
                <w:bCs w:val="false"/>
                <w:color w:val="1A2332"/>
                <w:sz w:val="20"/>
                <w:szCs w:val="20"/>
              </w:rPr>
              <w:t xml:space="preserve">Задержка датчик → WebSocket</w:t>
            </w:r>
          </w:p>
        </w:tc>
        <w:tc>
          <w:tcPr>
            <w:tcW w:type="pct" w:w="58%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 w:val="false"/>
                <w:bCs w:val="false"/>
                <w:color w:val="1A2332"/>
                <w:sz w:val="20"/>
                <w:szCs w:val="20"/>
              </w:rPr>
              <w:t xml:space="preserve">≤ 2 с при опросе 1 с</w:t>
            </w:r>
          </w:p>
        </w:tc>
      </w:tr>
      <w:tr>
        <w:trPr>
          <w:cantSplit/>
        </w:trPr>
        <w:tc>
          <w:tcPr>
            <w:tcW w:type="pct" w:w="42%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 w:val="false"/>
                <w:bCs w:val="false"/>
                <w:color w:val="1A2332"/>
                <w:sz w:val="20"/>
                <w:szCs w:val="20"/>
              </w:rPr>
              <w:t xml:space="preserve">Пропускная способность приёма</w:t>
            </w:r>
          </w:p>
        </w:tc>
        <w:tc>
          <w:tcPr>
            <w:tcW w:type="pct" w:w="58%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 w:val="false"/>
                <w:bCs w:val="false"/>
                <w:color w:val="1A2332"/>
                <w:sz w:val="20"/>
                <w:szCs w:val="20"/>
              </w:rPr>
              <w:t xml:space="preserve">≥ 100 значений/с без деградации</w:t>
            </w:r>
          </w:p>
        </w:tc>
      </w:tr>
      <w:tr>
        <w:trPr>
          <w:cantSplit/>
        </w:trPr>
        <w:tc>
          <w:tcPr>
            <w:tcW w:type="pct" w:w="42%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 w:val="false"/>
                <w:bCs w:val="false"/>
                <w:color w:val="1A2332"/>
                <w:sz w:val="20"/>
                <w:szCs w:val="20"/>
              </w:rPr>
              <w:t xml:space="preserve">Глубина историка</w:t>
            </w:r>
          </w:p>
        </w:tc>
        <w:tc>
          <w:tcPr>
            <w:tcW w:type="pct" w:w="58%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 w:val="false"/>
                <w:bCs w:val="false"/>
                <w:color w:val="1A2332"/>
                <w:sz w:val="20"/>
                <w:szCs w:val="20"/>
              </w:rPr>
              <w:t xml:space="preserve">≥ 30 суток при 35 тегах × 1 Гц (SQLite WAL)</w:t>
            </w:r>
          </w:p>
        </w:tc>
      </w:tr>
      <w:tr>
        <w:trPr>
          <w:cantSplit/>
        </w:trPr>
        <w:tc>
          <w:tcPr>
            <w:tcW w:type="pct" w:w="42%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 w:val="false"/>
                <w:bCs w:val="false"/>
                <w:color w:val="1A2332"/>
                <w:sz w:val="20"/>
                <w:szCs w:val="20"/>
              </w:rPr>
              <w:t xml:space="preserve">Поведение при обрыве шлюз ↔ сервер</w:t>
            </w:r>
          </w:p>
        </w:tc>
        <w:tc>
          <w:tcPr>
            <w:tcW w:type="pct" w:w="58%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 w:val="false"/>
                <w:bCs w:val="false"/>
                <w:color w:val="1A2332"/>
                <w:sz w:val="20"/>
                <w:szCs w:val="20"/>
              </w:rPr>
              <w:t xml:space="preserve">буфер store-and-forward, полная доставка без дублей</w:t>
            </w:r>
          </w:p>
        </w:tc>
      </w:tr>
      <w:tr>
        <w:trPr>
          <w:cantSplit/>
        </w:trPr>
        <w:tc>
          <w:tcPr>
            <w:tcW w:type="pct" w:w="42%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 w:val="false"/>
                <w:bCs w:val="false"/>
                <w:color w:val="1A2332"/>
                <w:sz w:val="20"/>
                <w:szCs w:val="20"/>
              </w:rPr>
              <w:t xml:space="preserve">Поведение при обрыве станция ↔ шлюз</w:t>
            </w:r>
          </w:p>
        </w:tc>
        <w:tc>
          <w:tcPr>
            <w:tcW w:type="pct" w:w="58%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 w:val="false"/>
                <w:bCs w:val="false"/>
                <w:color w:val="1A2332"/>
                <w:sz w:val="20"/>
                <w:szCs w:val="20"/>
              </w:rPr>
              <w:t xml:space="preserve">качество offline, разрывы на трендах, без фиктивных значений</w:t>
            </w:r>
          </w:p>
        </w:tc>
      </w:tr>
      <w:tr>
        <w:trPr>
          <w:cantSplit/>
        </w:trPr>
        <w:tc>
          <w:tcPr>
            <w:tcW w:type="pct" w:w="42%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 w:val="false"/>
                <w:bCs w:val="false"/>
                <w:color w:val="1A2332"/>
                <w:sz w:val="20"/>
                <w:szCs w:val="20"/>
              </w:rPr>
              <w:t xml:space="preserve">Холодный старт демо</w:t>
            </w:r>
          </w:p>
        </w:tc>
        <w:tc>
          <w:tcPr>
            <w:tcW w:type="pct" w:w="58%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 w:val="false"/>
                <w:bCs w:val="false"/>
                <w:color w:val="1A2332"/>
                <w:sz w:val="20"/>
                <w:szCs w:val="20"/>
              </w:rPr>
              <w:t xml:space="preserve">рабочий интерфейс ≤ 30 с</w:t>
            </w:r>
          </w:p>
        </w:tc>
      </w:tr>
      <w:tr>
        <w:trPr>
          <w:cantSplit/>
        </w:trPr>
        <w:tc>
          <w:tcPr>
            <w:tcW w:type="pct" w:w="42%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 w:val="false"/>
                <w:bCs w:val="false"/>
                <w:color w:val="1A2332"/>
                <w:sz w:val="20"/>
                <w:szCs w:val="20"/>
              </w:rPr>
              <w:t xml:space="preserve">Ресурсы</w:t>
            </w:r>
          </w:p>
        </w:tc>
        <w:tc>
          <w:tcPr>
            <w:tcW w:type="pct" w:w="58%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 w:val="false"/>
                <w:bCs w:val="false"/>
                <w:color w:val="1A2332"/>
                <w:sz w:val="20"/>
                <w:szCs w:val="20"/>
              </w:rPr>
              <w:t xml:space="preserve">≤ 200 МБ ОЗУ сервер, ≤ 50 МБ стенд</w:t>
            </w:r>
          </w:p>
        </w:tc>
      </w:tr>
      <w:tr>
        <w:trPr>
          <w:cantSplit/>
        </w:trPr>
        <w:tc>
          <w:tcPr>
            <w:tcW w:type="pct" w:w="42%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 w:val="false"/>
                <w:bCs w:val="false"/>
                <w:color w:val="1A2332"/>
                <w:sz w:val="20"/>
                <w:szCs w:val="20"/>
              </w:rPr>
              <w:t xml:space="preserve">Сборка</w:t>
            </w:r>
          </w:p>
        </w:tc>
        <w:tc>
          <w:tcPr>
            <w:tcW w:type="pct" w:w="58%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 w:val="false"/>
                <w:bCs w:val="false"/>
                <w:color w:val="1A2332"/>
                <w:sz w:val="20"/>
                <w:szCs w:val="20"/>
              </w:rPr>
              <w:t xml:space="preserve">go build / go vet / go test — чисто; фронтенд собирается без ошибок TypeScript</w:t>
            </w:r>
          </w:p>
        </w:tc>
      </w:tr>
    </w:tbl>
    <w:p>
      <w:pPr>
        <w:pStyle w:val="Heading1"/>
        <w:spacing w:after="160" w:before="400" w:line="312"/>
      </w:pPr>
      <w:r>
        <w:rPr>
          <w:rFonts w:ascii="Times New Roman" w:hAnsi="Times New Roman"/>
          <w:b/>
          <w:bCs/>
          <w:color w:val="0F172A"/>
          <w:sz w:val="32"/>
          <w:szCs w:val="32"/>
        </w:rPr>
        <w:t xml:space="preserve">8. Безопасность</w:t>
      </w:r>
    </w:p>
    <w:p>
      <w:pPr>
        <w:pStyle w:val="ListParagraph"/>
        <w:numPr>
          <w:ilvl w:val="0"/>
          <w:numId w:val="1"/>
        </w:numPr>
        <w:spacing w:after="60" w:line="312"/>
        <w:jc w:val="both"/>
      </w:pPr>
      <w:r>
        <w:rPr>
          <w:rFonts w:ascii="Times New Roman" w:hAnsi="Times New Roman"/>
          <w:color w:val="1A2332"/>
          <w:sz w:val="24"/>
          <w:szCs w:val="24"/>
        </w:rPr>
        <w:t xml:space="preserve">Локальные учётные записи в базе (PBKDF2-SHA256), роли «Оператор» и «Администратор»; seed: operator/operator и admin/admin (пароли демонстрационные — сменить перед реальной эксплуатацией).</w:t>
      </w:r>
    </w:p>
    <w:p>
      <w:pPr>
        <w:pStyle w:val="ListParagraph"/>
        <w:numPr>
          <w:ilvl w:val="0"/>
          <w:numId w:val="1"/>
        </w:numPr>
        <w:spacing w:after="60" w:line="312"/>
        <w:jc w:val="both"/>
      </w:pPr>
      <w:r>
        <w:rPr>
          <w:rFonts w:ascii="Times New Roman" w:hAnsi="Times New Roman"/>
          <w:color w:val="1A2332"/>
          <w:sz w:val="24"/>
          <w:szCs w:val="24"/>
        </w:rPr>
        <w:t xml:space="preserve">Серверные сессии в HttpOnly-cookie (SameSite=Lax, время жизни 12 ч); все API, кроме входа, требуют сессии; WebSocket — по cookie same-origin.</w:t>
      </w:r>
    </w:p>
    <w:p>
      <w:pPr>
        <w:pStyle w:val="ListParagraph"/>
        <w:numPr>
          <w:ilvl w:val="0"/>
          <w:numId w:val="1"/>
        </w:numPr>
        <w:spacing w:after="60" w:line="312"/>
        <w:jc w:val="both"/>
      </w:pPr>
      <w:r>
        <w:rPr>
          <w:rFonts w:ascii="Times New Roman" w:hAnsi="Times New Roman"/>
          <w:color w:val="1A2332"/>
          <w:sz w:val="24"/>
          <w:szCs w:val="24"/>
        </w:rPr>
        <w:t xml:space="preserve">RBAC-матрица: оператору разрешены квитирование тревог, запись уставок контуров и запуск сценариев; администратору — всё, включая реестр и аудит.</w:t>
      </w:r>
    </w:p>
    <w:p>
      <w:pPr>
        <w:pStyle w:val="ListParagraph"/>
        <w:numPr>
          <w:ilvl w:val="0"/>
          <w:numId w:val="1"/>
        </w:numPr>
        <w:spacing w:after="60" w:line="312"/>
        <w:jc w:val="both"/>
      </w:pPr>
      <w:r>
        <w:rPr>
          <w:rFonts w:ascii="Times New Roman" w:hAnsi="Times New Roman"/>
          <w:color w:val="1A2332"/>
          <w:sz w:val="24"/>
          <w:szCs w:val="24"/>
        </w:rPr>
        <w:t xml:space="preserve">Машинная аутентификация шлюзов — общий секрет GATEWAY_TOKEN (сравнение в постоянном времени); пользовательские сессии и ключи устройств разделены.</w:t>
      </w:r>
    </w:p>
    <w:p>
      <w:pPr>
        <w:pStyle w:val="ListParagraph"/>
        <w:numPr>
          <w:ilvl w:val="0"/>
          <w:numId w:val="1"/>
        </w:numPr>
        <w:spacing w:after="60" w:line="312"/>
        <w:jc w:val="both"/>
      </w:pPr>
      <w:r>
        <w:rPr>
          <w:rFonts w:ascii="Times New Roman" w:hAnsi="Times New Roman"/>
          <w:color w:val="1A2332"/>
          <w:sz w:val="24"/>
          <w:szCs w:val="24"/>
        </w:rPr>
        <w:t xml:space="preserve">Аудит всех мутаций с субъектом из сессии; команды управления выполняются только с явным подтверждением (confirm: true).</w:t>
      </w:r>
    </w:p>
    <w:p>
      <w:pPr>
        <w:pStyle w:val="ListParagraph"/>
        <w:numPr>
          <w:ilvl w:val="0"/>
          <w:numId w:val="1"/>
        </w:numPr>
        <w:spacing w:after="60" w:line="312"/>
        <w:jc w:val="both"/>
      </w:pPr>
      <w:r>
        <w:rPr>
          <w:rFonts w:ascii="Times New Roman" w:hAnsi="Times New Roman"/>
          <w:color w:val="1A2332"/>
          <w:sz w:val="24"/>
          <w:szCs w:val="24"/>
        </w:rPr>
        <w:t xml:space="preserve">Граница безопасности: супервизорный контур не подменяет средства противоаварийной защиты; при потере достоверных данных воздействие замораживается (IEC 61511).</w:t>
      </w:r>
    </w:p>
    <w:p>
      <w:pPr>
        <w:pStyle w:val="Heading1"/>
        <w:spacing w:after="160" w:before="400" w:line="312"/>
      </w:pPr>
      <w:r>
        <w:rPr>
          <w:rFonts w:ascii="Times New Roman" w:hAnsi="Times New Roman"/>
          <w:b/>
          <w:bCs/>
          <w:color w:val="0F172A"/>
          <w:sz w:val="32"/>
          <w:szCs w:val="32"/>
        </w:rPr>
        <w:t xml:space="preserve">9. Среда эксплуатации</w:t>
      </w:r>
    </w:p>
    <w:p>
      <w:pPr>
        <w:keepNext/>
        <w:spacing w:after="80" w:before="160" w:line="312"/>
      </w:pPr>
      <w:r>
        <w:rPr>
          <w:rFonts w:ascii="Times New Roman" w:hAnsi="Times New Roman"/>
          <w:b/>
          <w:bCs/>
          <w:color w:val="506070"/>
          <w:sz w:val="21"/>
          <w:szCs w:val="21"/>
        </w:rPr>
        <w:t xml:space="preserve">Таблица 9 — Требования к среде</w:t>
      </w:r>
    </w:p>
    <w:tbl>
      <w:tblPr>
        <w:tblW w:type="pct" w:w="100%"/>
        <w:tblBorders>
          <w:top w:val="single" w:color="9AA6B2" w:sz="4"/>
          <w:left w:val="none" w:color="FFFFFF" w:sz="0"/>
          <w:bottom w:val="single" w:color="9AA6B2" w:sz="4"/>
          <w:right w:val="none" w:color="FFFFFF" w:sz="0"/>
          <w:insideH w:val="single" w:color="D8DEE6" w:sz="2"/>
          <w:insideV w:val="none" w:color="FFFFFF" w:sz="0"/>
        </w:tblBorders>
      </w:tblPr>
      <w:tblGrid>
        <w:gridCol w:w="100"/>
        <w:gridCol w:w="100"/>
      </w:tblGrid>
      <w:tr>
        <w:trPr>
          <w:cantSplit/>
          <w:tblHeader/>
        </w:trPr>
        <w:tc>
          <w:tcPr>
            <w:tcW w:type="pct" w:w="30%"/>
            <w:shd w:fill="E8EEF5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/>
                <w:bCs/>
                <w:color w:val="0F172A"/>
                <w:sz w:val="20"/>
                <w:szCs w:val="20"/>
              </w:rPr>
              <w:t xml:space="preserve">Параметр</w:t>
            </w:r>
          </w:p>
        </w:tc>
        <w:tc>
          <w:tcPr>
            <w:tcW w:type="pct" w:w="70%"/>
            <w:shd w:fill="E8EEF5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/>
                <w:bCs/>
                <w:color w:val="0F172A"/>
                <w:sz w:val="20"/>
                <w:szCs w:val="20"/>
              </w:rPr>
              <w:t xml:space="preserve">Значение</w:t>
            </w:r>
          </w:p>
        </w:tc>
      </w:tr>
      <w:tr>
        <w:trPr>
          <w:cantSplit/>
        </w:trPr>
        <w:tc>
          <w:tcPr>
            <w:tcW w:type="pct" w:w="30%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 w:val="false"/>
                <w:bCs w:val="false"/>
                <w:color w:val="1A2332"/>
                <w:sz w:val="20"/>
                <w:szCs w:val="20"/>
              </w:rPr>
              <w:t xml:space="preserve">ОС</w:t>
            </w:r>
          </w:p>
        </w:tc>
        <w:tc>
          <w:tcPr>
            <w:tcW w:type="pct" w:w="70%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 w:val="false"/>
                <w:bCs w:val="false"/>
                <w:color w:val="1A2332"/>
                <w:sz w:val="20"/>
                <w:szCs w:val="20"/>
              </w:rPr>
              <w:t xml:space="preserve">Linux (поставляются unit-файлы systemd: cap-server, cap-gateway)</w:t>
            </w:r>
          </w:p>
        </w:tc>
      </w:tr>
      <w:tr>
        <w:trPr>
          <w:cantSplit/>
        </w:trPr>
        <w:tc>
          <w:tcPr>
            <w:tcW w:type="pct" w:w="30%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 w:val="false"/>
                <w:bCs w:val="false"/>
                <w:color w:val="1A2332"/>
                <w:sz w:val="20"/>
                <w:szCs w:val="20"/>
              </w:rPr>
              <w:t xml:space="preserve">Исполнение</w:t>
            </w:r>
          </w:p>
        </w:tc>
        <w:tc>
          <w:tcPr>
            <w:tcW w:type="pct" w:w="70%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 w:val="false"/>
                <w:bCs w:val="false"/>
                <w:color w:val="1A2332"/>
                <w:sz w:val="20"/>
                <w:szCs w:val="20"/>
              </w:rPr>
              <w:t xml:space="preserve">Статические бинарники Go, без внешних зависимостей времени выполнения</w:t>
            </w:r>
          </w:p>
        </w:tc>
      </w:tr>
      <w:tr>
        <w:trPr>
          <w:cantSplit/>
        </w:trPr>
        <w:tc>
          <w:tcPr>
            <w:tcW w:type="pct" w:w="30%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 w:val="false"/>
                <w:bCs w:val="false"/>
                <w:color w:val="1A2332"/>
                <w:sz w:val="20"/>
                <w:szCs w:val="20"/>
              </w:rPr>
              <w:t xml:space="preserve">Порты</w:t>
            </w:r>
          </w:p>
        </w:tc>
        <w:tc>
          <w:tcPr>
            <w:tcW w:type="pct" w:w="70%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 w:val="false"/>
                <w:bCs w:val="false"/>
                <w:color w:val="1A2332"/>
                <w:sz w:val="20"/>
                <w:szCs w:val="20"/>
              </w:rPr>
              <w:t xml:space="preserve">8000 — сервер (UI/API/WS); 1502 — Modbus TCP стенда; 15080 — HTTP стенда (только демонстрация)</w:t>
            </w:r>
          </w:p>
        </w:tc>
      </w:tr>
      <w:tr>
        <w:trPr>
          <w:cantSplit/>
        </w:trPr>
        <w:tc>
          <w:tcPr>
            <w:tcW w:type="pct" w:w="30%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 w:val="false"/>
                <w:bCs w:val="false"/>
                <w:color w:val="1A2332"/>
                <w:sz w:val="20"/>
                <w:szCs w:val="20"/>
              </w:rPr>
              <w:t xml:space="preserve">Браузер</w:t>
            </w:r>
          </w:p>
        </w:tc>
        <w:tc>
          <w:tcPr>
            <w:tcW w:type="pct" w:w="70%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 w:val="false"/>
                <w:bCs w:val="false"/>
                <w:color w:val="1A2332"/>
                <w:sz w:val="20"/>
                <w:szCs w:val="20"/>
              </w:rPr>
              <w:t xml:space="preserve">Актуальные Chrome/Firefox/Edge, same-origin, без расширений и CDN</w:t>
            </w:r>
          </w:p>
        </w:tc>
      </w:tr>
      <w:tr>
        <w:trPr>
          <w:cantSplit/>
        </w:trPr>
        <w:tc>
          <w:tcPr>
            <w:tcW w:type="pct" w:w="30%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 w:val="false"/>
                <w:bCs w:val="false"/>
                <w:color w:val="1A2332"/>
                <w:sz w:val="20"/>
                <w:szCs w:val="20"/>
              </w:rPr>
              <w:t xml:space="preserve">База данных</w:t>
            </w:r>
          </w:p>
        </w:tc>
        <w:tc>
          <w:tcPr>
            <w:tcW w:type="pct" w:w="70%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 w:val="false"/>
                <w:bCs w:val="false"/>
                <w:color w:val="1A2332"/>
                <w:sz w:val="20"/>
                <w:szCs w:val="20"/>
              </w:rPr>
              <w:t xml:space="preserve">SQLite (WAL) по умолчанию; PostgreSQL — для промышленной эксплуатации</w:t>
            </w:r>
          </w:p>
        </w:tc>
      </w:tr>
      <w:tr>
        <w:trPr>
          <w:cantSplit/>
        </w:trPr>
        <w:tc>
          <w:tcPr>
            <w:tcW w:type="pct" w:w="30%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 w:val="false"/>
                <w:bCs w:val="false"/>
                <w:color w:val="1A2332"/>
                <w:sz w:val="20"/>
                <w:szCs w:val="20"/>
              </w:rPr>
              <w:t xml:space="preserve">Сеть</w:t>
            </w:r>
          </w:p>
        </w:tc>
        <w:tc>
          <w:tcPr>
            <w:tcW w:type="pct" w:w="70%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 w:val="false"/>
                <w:bCs w:val="false"/>
                <w:color w:val="1A2332"/>
                <w:sz w:val="20"/>
                <w:szCs w:val="20"/>
              </w:rPr>
              <w:t xml:space="preserve">Локальный контур; внешние соединения не требуются (air-gap)</w:t>
            </w:r>
          </w:p>
        </w:tc>
      </w:tr>
    </w:tbl>
    <w:p>
      <w:pPr>
        <w:pStyle w:val="Heading1"/>
        <w:spacing w:after="160" w:before="400" w:line="312"/>
      </w:pPr>
      <w:r>
        <w:rPr>
          <w:rFonts w:ascii="Times New Roman" w:hAnsi="Times New Roman"/>
          <w:b/>
          <w:bCs/>
          <w:color w:val="0F172A"/>
          <w:sz w:val="32"/>
          <w:szCs w:val="32"/>
        </w:rPr>
        <w:t xml:space="preserve">10. Комплектность поставки и документации</w:t>
      </w:r>
    </w:p>
    <w:p>
      <w:pPr>
        <w:pStyle w:val="ListParagraph"/>
        <w:numPr>
          <w:ilvl w:val="0"/>
          <w:numId w:val="1"/>
        </w:numPr>
        <w:spacing w:after="60" w:line="312"/>
        <w:jc w:val="both"/>
      </w:pPr>
      <w:r>
        <w:rPr>
          <w:rFonts w:ascii="Times New Roman" w:hAnsi="Times New Roman"/>
          <w:color w:val="1A2332"/>
          <w:sz w:val="24"/>
          <w:szCs w:val="24"/>
        </w:rPr>
        <w:t xml:space="preserve">Исходный код: backend/ (Go — сервер, шлюз, стенд), frontend/ (React-HMI), demo/ (скрипты демонстрации), deploy/ (unit-файлы systemd, install.sh).</w:t>
      </w:r>
    </w:p>
    <w:p>
      <w:pPr>
        <w:pStyle w:val="ListParagraph"/>
        <w:numPr>
          <w:ilvl w:val="0"/>
          <w:numId w:val="1"/>
        </w:numPr>
        <w:spacing w:after="60" w:line="312"/>
        <w:jc w:val="both"/>
      </w:pPr>
      <w:r>
        <w:rPr>
          <w:rFonts w:ascii="Times New Roman" w:hAnsi="Times New Roman"/>
          <w:color w:val="1A2332"/>
          <w:sz w:val="24"/>
          <w:szCs w:val="24"/>
        </w:rPr>
        <w:t xml:space="preserve">Техническое задание (TZ_OBOGASHCHENIE.md) — полный контракт системы, включая карту регистров и критерии приёмки.</w:t>
      </w:r>
    </w:p>
    <w:p>
      <w:pPr>
        <w:pStyle w:val="ListParagraph"/>
        <w:numPr>
          <w:ilvl w:val="0"/>
          <w:numId w:val="1"/>
        </w:numPr>
        <w:spacing w:after="60" w:line="312"/>
        <w:jc w:val="both"/>
      </w:pPr>
      <w:r>
        <w:rPr>
          <w:rFonts w:ascii="Times New Roman" w:hAnsi="Times New Roman"/>
          <w:color w:val="1A2332"/>
          <w:sz w:val="24"/>
          <w:szCs w:val="24"/>
        </w:rPr>
        <w:t xml:space="preserve">Настоящий технический паспорт; руководство оператора; презентационные материалы.</w:t>
      </w:r>
    </w:p>
    <w:p>
      <w:pPr>
        <w:pStyle w:val="Heading1"/>
        <w:spacing w:after="160" w:before="400" w:line="312"/>
      </w:pPr>
      <w:r>
        <w:rPr>
          <w:rFonts w:ascii="Times New Roman" w:hAnsi="Times New Roman"/>
          <w:b/>
          <w:bCs/>
          <w:color w:val="0F172A"/>
          <w:sz w:val="32"/>
          <w:szCs w:val="32"/>
        </w:rPr>
        <w:t xml:space="preserve">11. Ограничения текущей версии</w:t>
      </w:r>
    </w:p>
    <w:p>
      <w:pPr>
        <w:pStyle w:val="ListParagraph"/>
        <w:numPr>
          <w:ilvl w:val="0"/>
          <w:numId w:val="1"/>
        </w:numPr>
        <w:spacing w:after="60" w:line="312"/>
        <w:jc w:val="both"/>
      </w:pPr>
      <w:r>
        <w:rPr>
          <w:rFonts w:ascii="Times New Roman" w:hAnsi="Times New Roman"/>
          <w:color w:val="1A2332"/>
          <w:sz w:val="24"/>
          <w:szCs w:val="24"/>
        </w:rPr>
        <w:t xml:space="preserve">Одиночный узел: отказоустойчивость и кластеризация не предусмотрены.</w:t>
      </w:r>
    </w:p>
    <w:p>
      <w:pPr>
        <w:pStyle w:val="ListParagraph"/>
        <w:numPr>
          <w:ilvl w:val="0"/>
          <w:numId w:val="1"/>
        </w:numPr>
        <w:spacing w:after="60" w:line="312"/>
        <w:jc w:val="both"/>
      </w:pPr>
      <w:r>
        <w:rPr>
          <w:rFonts w:ascii="Times New Roman" w:hAnsi="Times New Roman"/>
          <w:color w:val="1A2332"/>
          <w:sz w:val="24"/>
          <w:szCs w:val="24"/>
        </w:rPr>
        <w:t xml:space="preserve">Аутентификация предприятия (OIDC/LDAP) не подключена — только локальные учётные записи.</w:t>
      </w:r>
    </w:p>
    <w:p>
      <w:pPr>
        <w:pStyle w:val="ListParagraph"/>
        <w:numPr>
          <w:ilvl w:val="0"/>
          <w:numId w:val="1"/>
        </w:numPr>
        <w:spacing w:after="60" w:line="312"/>
        <w:jc w:val="both"/>
      </w:pPr>
      <w:r>
        <w:rPr>
          <w:rFonts w:ascii="Times New Roman" w:hAnsi="Times New Roman"/>
          <w:color w:val="1A2332"/>
          <w:sz w:val="24"/>
          <w:szCs w:val="24"/>
        </w:rPr>
        <w:t xml:space="preserve">Долгосрочное сжатие исторических данных (downsampling) отсутствует.</w:t>
      </w:r>
    </w:p>
    <w:p>
      <w:pPr>
        <w:pStyle w:val="ListParagraph"/>
        <w:numPr>
          <w:ilvl w:val="0"/>
          <w:numId w:val="1"/>
        </w:numPr>
        <w:spacing w:after="60" w:line="312"/>
        <w:jc w:val="both"/>
      </w:pPr>
      <w:r>
        <w:rPr>
          <w:rFonts w:ascii="Times New Roman" w:hAnsi="Times New Roman"/>
          <w:color w:val="1A2332"/>
          <w:sz w:val="24"/>
          <w:szCs w:val="24"/>
        </w:rPr>
        <w:t xml:space="preserve">В демонстрационном контуре используется Modbus TCP; драйверы OPC UA и Sparkplug сохранены в коде шлюза.</w:t>
      </w:r>
    </w:p>
    <w:p>
      <w:pPr>
        <w:pStyle w:val="ListParagraph"/>
        <w:numPr>
          <w:ilvl w:val="0"/>
          <w:numId w:val="1"/>
        </w:numPr>
        <w:spacing w:after="60" w:line="312"/>
        <w:jc w:val="both"/>
      </w:pPr>
      <w:r>
        <w:rPr>
          <w:rFonts w:ascii="Times New Roman" w:hAnsi="Times New Roman"/>
          <w:color w:val="1A2332"/>
          <w:sz w:val="24"/>
          <w:szCs w:val="24"/>
        </w:rPr>
        <w:t xml:space="preserve">Мобильная версия интерфейса не предусмотрена.</w:t>
      </w:r>
    </w:p>
    <w:p>
      <w:pPr>
        <w:pStyle w:val="ListParagraph"/>
        <w:numPr>
          <w:ilvl w:val="0"/>
          <w:numId w:val="1"/>
        </w:numPr>
        <w:spacing w:after="60" w:line="312"/>
        <w:jc w:val="both"/>
      </w:pPr>
      <w:r>
        <w:rPr>
          <w:rFonts w:ascii="Times New Roman" w:hAnsi="Times New Roman"/>
          <w:color w:val="1A2332"/>
          <w:sz w:val="24"/>
          <w:szCs w:val="24"/>
        </w:rPr>
        <w:t xml:space="preserve">Профили руды влияют на уставки тревог и целевые показатели платформы; смена типа руды в модели стенда выполняется сценарием и с профилями не синхронизируется автоматически.</w:t>
      </w:r>
    </w:p>
    <w:p>
      <w:pPr>
        <w:pStyle w:val="Heading1"/>
        <w:spacing w:after="160" w:before="400" w:line="312"/>
      </w:pPr>
      <w:r>
        <w:rPr>
          <w:rFonts w:ascii="Times New Roman" w:hAnsi="Times New Roman"/>
          <w:b/>
          <w:bCs/>
          <w:color w:val="0F172A"/>
          <w:sz w:val="32"/>
          <w:szCs w:val="32"/>
        </w:rPr>
        <w:t xml:space="preserve">12. Испытания и приёмка</w:t>
      </w:r>
    </w:p>
    <w:p>
      <w:pPr>
        <w:spacing w:after="100" w:line="312"/>
        <w:ind w:firstLine="709"/>
        <w:jc w:val="both"/>
      </w:pPr>
      <w:r>
        <w:rPr>
          <w:rFonts w:ascii="Times New Roman" w:hAnsi="Times New Roman"/>
          <w:color w:val="1A2332"/>
          <w:sz w:val="24"/>
          <w:szCs w:val="24"/>
        </w:rPr>
        <w:t xml:space="preserve">Автоматические проверки: юнит-тесты физики стенда (стационарный массовый баланс ±0,5 %; извлечение в номинале 88–92 %), Modbus-сервера (FC3/FC4/FC6 против реального клиента, исключения на прочие коды), металлургии (эталонные значения), ядра ПИД (шаг, ограничения, watchdog, безбамперный переход), интеграционные тесты API (идемпотентность приёма, аутентификация, RBAC, тревоги) и шлюза (буфер/доставка, FC6-мост). Сквозная демонстрация воспроизводится скриптом demo/run-demo.sh от начала до конца без ручных правок.</w:t>
      </w:r>
    </w:p>
    <w:p>
      <w:pPr>
        <w:pStyle w:val="Heading1"/>
        <w:spacing w:after="160" w:before="400" w:line="312"/>
      </w:pPr>
      <w:r>
        <w:rPr>
          <w:rFonts w:ascii="Times New Roman" w:hAnsi="Times New Roman"/>
          <w:b/>
          <w:bCs/>
          <w:color w:val="0F172A"/>
          <w:sz w:val="32"/>
          <w:szCs w:val="32"/>
        </w:rPr>
        <w:t xml:space="preserve">Приложение А. Использованные стандарты и литература</w:t>
      </w:r>
    </w:p>
    <w:p>
      <w:pPr>
        <w:pStyle w:val="ListParagraph"/>
        <w:numPr>
          <w:ilvl w:val="0"/>
          <w:numId w:val="1"/>
        </w:numPr>
        <w:spacing w:after="60" w:line="312"/>
        <w:jc w:val="both"/>
      </w:pPr>
      <w:r>
        <w:rPr>
          <w:rFonts w:ascii="Times New Roman" w:hAnsi="Times New Roman"/>
          <w:color w:val="1A2332"/>
          <w:sz w:val="24"/>
          <w:szCs w:val="24"/>
        </w:rPr>
        <w:t xml:space="preserve">B.A. Wills, J.A. Finch. Wills' Mineral Processing Technology, 9th ed. — баланс (гл. 3), измельчение и Бонд (гл. 5), кинетика флотации (гл. 12).</w:t>
      </w:r>
    </w:p>
    <w:p>
      <w:pPr>
        <w:pStyle w:val="ListParagraph"/>
        <w:numPr>
          <w:ilvl w:val="0"/>
          <w:numId w:val="1"/>
        </w:numPr>
        <w:spacing w:after="60" w:line="312"/>
        <w:jc w:val="both"/>
      </w:pPr>
      <w:r>
        <w:rPr>
          <w:rFonts w:ascii="Times New Roman" w:hAnsi="Times New Roman"/>
          <w:color w:val="1A2332"/>
          <w:sz w:val="24"/>
          <w:szCs w:val="24"/>
        </w:rPr>
        <w:t xml:space="preserve">ISA-5.1 — условные обозначения КИП; ISA-18.2 — управление тревогами; ISA-101 — проектирование HMI.</w:t>
      </w:r>
    </w:p>
    <w:p>
      <w:pPr>
        <w:pStyle w:val="ListParagraph"/>
        <w:numPr>
          <w:ilvl w:val="0"/>
          <w:numId w:val="1"/>
        </w:numPr>
        <w:spacing w:after="60" w:line="312"/>
        <w:jc w:val="both"/>
      </w:pPr>
      <w:r>
        <w:rPr>
          <w:rFonts w:ascii="Times New Roman" w:hAnsi="Times New Roman"/>
          <w:color w:val="1A2332"/>
          <w:sz w:val="24"/>
          <w:szCs w:val="24"/>
        </w:rPr>
        <w:t xml:space="preserve">Modbus Application Protocol Specification V1.1b3 (MBAP, FC3/FC4/FC6).</w:t>
      </w:r>
    </w:p>
    <w:p>
      <w:pPr>
        <w:pStyle w:val="ListParagraph"/>
        <w:numPr>
          <w:ilvl w:val="0"/>
          <w:numId w:val="1"/>
        </w:numPr>
        <w:spacing w:after="60" w:line="312"/>
        <w:jc w:val="both"/>
      </w:pPr>
      <w:r>
        <w:rPr>
          <w:rFonts w:ascii="Times New Roman" w:hAnsi="Times New Roman"/>
          <w:color w:val="1A2332"/>
          <w:sz w:val="24"/>
          <w:szCs w:val="24"/>
        </w:rPr>
        <w:t xml:space="preserve">IEC 61508/61511 — принципы безопасности супервизорного контура (watchdog, удержание воздействия при потере связи).</w:t>
      </w:r>
    </w:p>
    <w:sectPr>
      <w:headerReference w:type="default" r:id="rId8"/>
      <w:footerReference w:type="default" r:id="rId9"/>
      <w:type w:val="nextPage"/>
      <w:pgSz w:w="11906" w:h="16838" w:orient="portrait"/>
      <w:pgMar w:top="1134" w:right="850" w:bottom="1134" w:left="1701" w:header="708" w:footer="708" w:gutter="0"/>
      <w:pgNumType w:start="1" w:fmt="decimal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hAnsi="Times New Roman"/>
        <w:color w:val="888888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hAnsi="Times New Roman"/>
        <w:color w:val="888888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8DEE6" w:sz="2" w:space="4"/>
      </w:pBdr>
      <w:jc w:val="right"/>
    </w:pPr>
    <w:r>
      <w:rPr>
        <w:rFonts w:ascii="Times New Roman" w:hAnsi="Times New Roman"/>
        <w:color w:val="999999"/>
        <w:sz w:val="16"/>
        <w:szCs w:val="16"/>
      </w:rPr>
      <w:t xml:space="preserve">CAP · Технический паспорт · MVP 2.0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hAnsi="Times New Roman"/>
        <w:color w:val="1A2332"/>
        <w:sz w:val="24"/>
        <w:szCs w:val="24"/>
      </w:rPr>
    </w:rPrDefault>
    <w:pPrDefault>
      <w:pPr>
        <w:spacing w:line="312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160" w:before="400" w:line="312"/>
      <w:outlineLvl w:val="0"/>
    </w:pPr>
    <w:rPr>
      <w:rFonts w:ascii="Times New Roman" w:hAnsi="Times New Roman"/>
      <w:b/>
      <w:bCs/>
      <w:color w:val="0F172A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80" w:line="312"/>
      <w:outlineLvl w:val="1"/>
    </w:pPr>
    <w:rPr>
      <w:rFonts w:ascii="Times New Roman" w:hAnsi="Times New Roman"/>
      <w:b/>
      <w:bCs/>
      <w:color w:val="0F172A"/>
      <w:sz w:val="28"/>
      <w:szCs w:val="28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header" Target="header1.xml"/><Relationship Id="rId9" Type="http://schemas.openxmlformats.org/officeDocument/2006/relationships/footer" Target="footer2.xml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2026-09-11T10:09:49.039Z</dcterms:created>
  <dcterms:modified xsi:type="dcterms:W3CDTF">2026-09-11T10:09:49.041Z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