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 by a Teacher of the Academy of Sciences of the Republic of Tajikistan</w:t>
      </w:r>
    </w:p>
    <w:p>
      <w:r/>
    </w:p>
    <w:p>
      <w:r>
        <w:rPr>
          <w:b/>
        </w:rPr>
        <w:t>System name:</w:t>
      </w:r>
      <w:r>
        <w:t xml:space="preserve"> CAP (Complex Automation Pro) – a modular SCADA system for real‑time dispatch control and management of an ore flotation beneficiation plant.</w:t>
      </w:r>
    </w:p>
    <w:p>
      <w:r/>
    </w:p>
    <w:p>
      <w:r>
        <w:rPr>
          <w:b/>
        </w:rPr>
        <w:t>Rating:</w:t>
      </w:r>
      <w:r>
        <w:t xml:space="preserve"> High (Excellent).</w:t>
      </w:r>
    </w:p>
    <w:p>
      <w:r/>
    </w:p>
    <w:p>
      <w:r>
        <w:rPr>
          <w:b/>
        </w:rPr>
        <w:t>Summary:</w:t>
      </w:r>
      <w:r>
        <w:t xml:space="preserve">  </w:t>
      </w:r>
    </w:p>
    <w:p>
      <w:r>
        <w:t>The CAP system exemplifies the integration of modern automation, data processing, and intelligent control in mineral‑beneficiation industry. From an educational and scientific perspective, it offers the following strengths:</w:t>
      </w:r>
    </w:p>
    <w:p>
      <w:r/>
    </w:p>
    <w:p>
      <w:r>
        <w:t xml:space="preserve">1. </w:t>
      </w:r>
      <w:r>
        <w:rPr>
          <w:b/>
        </w:rPr>
        <w:t>Educational value</w:t>
      </w:r>
      <w:r>
        <w:t xml:space="preserve"> – CAP provides a clear, hands‑on example of industrial automation principles (SCADA, PID control, ISA‑18.2 alarm handling) applied to a real technological process, making it an excellent teaching aid for students in mining and metallurgy.</w:t>
      </w:r>
    </w:p>
    <w:p>
      <w:r>
        <w:t xml:space="preserve">2. </w:t>
      </w:r>
      <w:r>
        <w:rPr>
          <w:b/>
        </w:rPr>
        <w:t>Scientific novelty</w:t>
      </w:r>
      <w:r>
        <w:t xml:space="preserve"> – Its flexible architecture, allowing PID algorithms to run on the central server, external PLCs, or ESP32 microcontrollers via a unified ingest contract, constitutes an interesting subject for research in distributed control systems and adaptive regulation.</w:t>
      </w:r>
    </w:p>
    <w:p>
      <w:r>
        <w:t xml:space="preserve">3. </w:t>
      </w:r>
      <w:r>
        <w:rPr>
          <w:b/>
        </w:rPr>
        <w:t>Metallurgical balance as a learning tool</w:t>
      </w:r>
      <w:r>
        <w:t xml:space="preserve"> – Each KPI is accompanied by its formula string and source‑tag identifiers, enabling students to trace data origins and verify calculations, thereby developing skills in big‑data handling and auditability.</w:t>
      </w:r>
    </w:p>
    <w:p>
      <w:r>
        <w:t xml:space="preserve">4. </w:t>
      </w:r>
      <w:r>
        <w:rPr>
          <w:b/>
        </w:rPr>
        <w:t>Alarm system and safety</w:t>
      </w:r>
      <w:r>
        <w:t xml:space="preserve"> – Implementation of ISA‑18.2 alarms with rationalised set‑points, delays, and hysteresis serves as an excellent case study for courses on industrial safety and automation.</w:t>
      </w:r>
    </w:p>
    <w:p>
      <w:r>
        <w:t xml:space="preserve">5. </w:t>
      </w:r>
      <w:r>
        <w:rPr>
          <w:b/>
        </w:rPr>
        <w:t>Telemetry reliability and audit</w:t>
      </w:r>
      <w:r>
        <w:t xml:space="preserve"> – The store‑and‑forward buffer and cryptographically protected audit log demonstrate advanced methods for ensuring data integrity and traceability, relevant to information‑security curricula in industrial contexts.</w:t>
      </w:r>
    </w:p>
    <w:p>
      <w:r/>
    </w:p>
    <w:p>
      <w:r>
        <w:rPr>
          <w:b/>
        </w:rPr>
        <w:t>Conclusion:</w:t>
      </w:r>
      <w:r>
        <w:t xml:space="preserve">  </w:t>
      </w:r>
    </w:p>
    <w:p>
      <w:r>
        <w:t>CAP satisfies industrial requirements while also serving as a powerful educational and scientific resource. It is recommended to incorporate the system into teaching laboratories and research projects of the Academy of Sciences and higher‑education institutions in the Republic of Tajikistan to train specialists in automation of mineral‑beneficiation processes.</w:t>
      </w:r>
    </w:p>
    <w:p>
      <w:r/>
    </w:p>
    <w:p>
      <w:r>
        <w:rPr>
          <w:b/>
        </w:rPr>
        <w:t>Signature:</w:t>
      </w:r>
      <w:r>
        <w:t xml:space="preserve">  </w:t>
      </w:r>
    </w:p>
    <w:p>
      <w:r>
        <w:t xml:space="preserve">_Teacher of the Academy of Sciences of the Republic of Tajikistan_  </w:t>
      </w:r>
    </w:p>
    <w:p>
      <w:r>
        <w:t>_Date: 11 September 2026_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