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Arial"/>
                <w:color w:val="37DCF2"/>
                <w:spacing w:val="40"/>
                <w:sz w:val="18"/>
                <w:szCs w:val="18"/>
              </w:rPr>
              <w:t xml:space="preserve">C  A  P     O  P  E  R  A  T  I  N  G     M  A  N  U  A  L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Arial"/>
                <w:b/>
                <w:bCs/>
                <w:color w:val="FFFFFF"/>
                <w:sz w:val="80"/>
                <w:szCs w:val="80"/>
              </w:rPr>
              <w:t xml:space="preserve">Complex Automation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Arial"/>
                <w:b/>
                <w:bCs/>
                <w:color w:val="FFFFFF"/>
                <w:sz w:val="80"/>
                <w:szCs w:val="80"/>
              </w:rPr>
              <w:t xml:space="preserve">Pro (CAP)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 xml:space="preserve">Руководство по эксплуатации и технический паспорт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Обозначение: CAP-РЭ-01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Версия платформы: MVP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Правообладатель: 4codegit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Дата: 10.09.2026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</w:rPr>
              <w:t xml:space="preserve">Complex Automation Pro</w:t>
            </w:r>
            <w:r>
              <w:t xml:space="preserve">                                                            </w:t>
            </w:r>
            <w:r>
              <w:rPr>
                <w:color w:val="687078"/>
                <w:sz w:val="16"/>
                <w:szCs w:val="16"/>
              </w:rPr>
              <w:t xml:space="preserve">Лицензия MIT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Общие сведения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Состав и архитектура системы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Требования к вычислительной среде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Установка и запуск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Быстрый старт (монолитный режим)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4.2. Микросервисный режим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4.3. Подключение реального Modbus-устройства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 Интерфейс оператора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5.1. Страница «Обзор»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5.2. Страница «Аналитика»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5.3. Страница «Аварии»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5.4. Страница «Профили»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5.5. Страница «Настройки»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6. Подключение источников данных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7. Расчётные технологические показатели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8. Справочник API (v1)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9. Переменные окружения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10. Безопасность и границы применения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11. Диагностика неисправностей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12. Свидетельство о приёмке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обновите номера страниц: правый клик по оглавлению — «Обновить поле».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1. Общие сведения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Complex Automation Pro (CAP) — программная платформа мониторинга технологических процессов обогатительной фабрики. Платформа собирает телеметрию с датчиков и контроллеров через edge-шлюзы по промышленным протоколам (Modbus TCP, OPC UA, MQTT Sparkplug B), хранит историю измерений, вычисляет производные технологические показатели, отслеживает аварии и предоставляет оператору веб-панель контроля.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CAP является системой наблюдения (уровень 3 по модели ISA-95) и не осуществляет управления технологическим оборудованием: приём данных — только чтение, контуры регулирования, блокировки и аварийные остановы остаются в независимых системах управления. Потеря или компрометация CAP не останавливает производство.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06070"/>
          <w:sz w:val="21"/>
          <w:szCs w:val="21"/>
        </w:rPr>
        <w:t xml:space="preserve">Таблица 1. Сведения об изделии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6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Наименование</w:t>
            </w:r>
          </w:p>
        </w:tc>
        <w:tc>
          <w:tcPr>
            <w:tcW w:type="pct" w:w="6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Complex Automation Pro (CAP)</w:t>
            </w:r>
          </w:p>
        </w:tc>
      </w:tr>
      <w:tr>
        <w:trPr>
          <w:cantSplit/>
        </w:trPr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6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MVP (ветка main репозитория)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Правообладатель</w:t>
            </w:r>
          </w:p>
        </w:tc>
        <w:tc>
          <w:tcPr>
            <w:tcW w:type="pct" w:w="6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4codegit</w:t>
            </w:r>
          </w:p>
        </w:tc>
      </w:tr>
      <w:tr>
        <w:trPr>
          <w:cantSplit/>
        </w:trPr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6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MIT (файл LICENSE)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Репозиторий</w:t>
            </w:r>
          </w:p>
        </w:tc>
        <w:tc>
          <w:tcPr>
            <w:tcW w:type="pct" w:w="6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github.com/4codegit/complex_automation_pro</w:t>
            </w:r>
          </w:p>
        </w:tc>
      </w:tr>
      <w:tr>
        <w:trPr>
          <w:cantSplit/>
        </w:trPr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Языки реализации</w:t>
            </w:r>
          </w:p>
        </w:tc>
        <w:tc>
          <w:tcPr>
            <w:tcW w:type="pct" w:w="6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Go (сервер, шлюзы), TypeScript/React (панель)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Статус</w:t>
            </w:r>
          </w:p>
        </w:tc>
        <w:tc>
          <w:tcPr>
            <w:tcW w:type="pct" w:w="6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Опытная эксплуатация, режим разработки</w:t>
            </w:r>
          </w:p>
        </w:tc>
      </w:tr>
    </w:tbl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2. Состав и архитектура системы</w:t>
      </w:r>
      <w:bookmarkEnd w:id="100001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Система состоит из центральной платформы и пограничных шлюзов. Центральная платформа развёртывается в двух режимах из одного кода: монолитном (разработка и демонстрация, один процесс cmd/server) либо микросервисном — семь независимых сервисов за единой входной точкой gateway-api.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06070"/>
          <w:sz w:val="21"/>
          <w:szCs w:val="21"/>
        </w:rPr>
        <w:t xml:space="preserve">Таблица 2. Компоненты системы (микросервисный режим)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Компонент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Порт</w:t>
            </w:r>
          </w:p>
        </w:tc>
        <w:tc>
          <w:tcPr>
            <w:tcW w:type="pct" w:w="6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gateway-api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8000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Единая входная точка: маршрутизация API и дашборда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live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8001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Веб-панель, WebSocket-поток, симулятор (только разработка)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ingest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8002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Приём телеметрии от шлюзов, идемпотентность, коды качества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historian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8003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История измерений, агрегаты, CSV-отчёты, аналитика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alarms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8004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Аварии: состояния, квитирование, уставки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profiles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8005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Профили руды: черновик — согласование — активация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registry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8006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Реестр оборудования, сигналов и шлюзов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identity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8007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Роли доступа (RBAC), назначения, журнал аудита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gateway (edge)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Опрос приборов, буфер store-and-forward, доставка на сервер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Буферизация на краю сети (store-and-forward) гарантирует сохранность данных при потере связи: каждое сообщение пишется в локальную базу SQLite (WAL) и доставляется на сервер пакетами с повторными попытками; после восстановления связи очередь полностью досылается.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3. Требования к вычислительной среде</w:t>
      </w:r>
      <w:bookmarkEnd w:id="100002"/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06070"/>
          <w:sz w:val="21"/>
          <w:szCs w:val="21"/>
        </w:rPr>
        <w:t xml:space="preserve">Таблица 3. Минимальные требования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Компонент</w:t>
            </w:r>
          </w:p>
        </w:tc>
        <w:tc>
          <w:tcPr>
            <w:tcW w:type="pct" w:w="6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Операционная система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Linux x86-64 (проверено на Fedora; совместимо с любым современным дистрибутивом)</w:t>
            </w:r>
          </w:p>
        </w:tc>
      </w:tr>
      <w:tr>
        <w:trPr>
          <w:cantSplit/>
        </w:trPr>
        <w:tc>
          <w:tcPr>
            <w:tcW w:type="pct" w:w="3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Среда выполнения Go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Go 1.22 или новее (сборка из исходников)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Сборка панели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Node.js 18+ и npm (только при изменении интерфейса)</w:t>
            </w:r>
          </w:p>
        </w:tc>
      </w:tr>
      <w:tr>
        <w:trPr>
          <w:cantSplit/>
        </w:trPr>
        <w:tc>
          <w:tcPr>
            <w:tcW w:type="pct" w:w="3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База данных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SQLite (встроенная, по умолчанию) или PostgreSQL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Сеть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TCP: порты 8000–8007 (режим микросервисов) либо 8000 (монолит); доступ шлюзов к приборам по сети</w:t>
            </w:r>
          </w:p>
        </w:tc>
      </w:tr>
    </w:tbl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4. Установка и запуск</w:t>
      </w:r>
      <w:bookmarkEnd w:id="100003"/>
    </w:p>
    <w:p>
      <w:pPr>
        <w:pStyle w:val="Heading2"/>
        <w:spacing w:after="120" w:before="240" w:line="312"/>
      </w:pPr>
      <w:bookmarkStart w:id="100004" w:name="_Toc100004"/>
      <w:r>
        <w:rPr>
          <w:rFonts w:ascii="Times New Roman" w:eastAsia="Times New Roman"/>
          <w:b/>
          <w:bCs/>
          <w:color w:val="0A1628"/>
          <w:sz w:val="28"/>
          <w:szCs w:val="28"/>
        </w:rPr>
        <w:t xml:space="preserve">4.1. Быстрый старт (монолитный режим)</w:t>
      </w:r>
      <w:bookmarkEnd w:id="100004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Сборка и запуск одной командой — скрипт собирает веб-панель, встраивает её в бинарник сервера, запускает сервер и демонстрационный шлюз, затем проверяет готовность:</w:t>
      </w:r>
    </w:p>
    <w:p>
      <w:pPr>
        <w:shd w:fill="EDF3F5" w:val="clear"/>
        <w:spacing w:after="40" w:line="312"/>
        <w:ind w:left="709"/>
      </w:pPr>
      <w:r>
        <w:rPr>
          <w:rFonts w:ascii="Courier New" w:eastAsia="Courier New"/>
          <w:color w:val="0A1628"/>
          <w:sz w:val="21"/>
          <w:szCs w:val="21"/>
        </w:rPr>
        <w:t xml:space="preserve">cd backend &amp;&amp; ./run.sh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После сообщения о готовности панель доступна по адресу http://127.0.0.1:8000. Остановка: fuser -k 8000/tcp. Альтернатива без пересборки панели и шлюза: scripts/start.sh (только сервер).</w:t>
      </w:r>
    </w:p>
    <w:p>
      <w:pPr>
        <w:pStyle w:val="Heading2"/>
        <w:spacing w:after="120" w:before="240" w:line="312"/>
      </w:pPr>
      <w:bookmarkStart w:id="100005" w:name="_Toc100005"/>
      <w:r>
        <w:rPr>
          <w:rFonts w:ascii="Times New Roman" w:eastAsia="Times New Roman"/>
          <w:b/>
          <w:bCs/>
          <w:color w:val="0A1628"/>
          <w:sz w:val="28"/>
          <w:szCs w:val="28"/>
        </w:rPr>
        <w:t xml:space="preserve">4.2. Микросервисный режим</w:t>
      </w:r>
      <w:bookmarkEnd w:id="100005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Запуск восьми независимых процессов (live → остальные сервисы → gateway-api; сервис live первым выполняет миграции базы):</w:t>
      </w:r>
    </w:p>
    <w:p>
      <w:pPr>
        <w:shd w:fill="EDF3F5" w:val="clear"/>
        <w:spacing w:after="40" w:line="312"/>
        <w:ind w:left="709"/>
      </w:pPr>
      <w:r>
        <w:rPr>
          <w:rFonts w:ascii="Courier New" w:eastAsia="Courier New"/>
          <w:color w:val="0A1628"/>
          <w:sz w:val="21"/>
          <w:szCs w:val="21"/>
        </w:rPr>
        <w:t xml:space="preserve">cd backend &amp;&amp; scripts/services.sh start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Управление: scripts/services.sh status — состояние процессов; scripts/services.sh stop — остановка. Все сервисы отвечают через единый адрес http://127.0.0.1:8000; внешне режим неотличим от монолита.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Times New Roman" w:eastAsia="Times New Roman"/>
          <w:b/>
          <w:bCs/>
          <w:color w:val="0A1628"/>
          <w:sz w:val="28"/>
          <w:szCs w:val="28"/>
        </w:rPr>
        <w:t xml:space="preserve">4.3. Подключение реального Modbus-устройства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Скрипт отключает демонстрационный симулятор и направляет шлюз на указанный Modbus TCP-источник (планшет с приложением-симулятором, контроллер, преобразователь):</w:t>
      </w:r>
    </w:p>
    <w:p>
      <w:pPr>
        <w:shd w:fill="EDF3F5" w:val="clear"/>
        <w:spacing w:after="40" w:line="312"/>
        <w:ind w:left="709"/>
      </w:pPr>
      <w:r>
        <w:rPr>
          <w:rFonts w:ascii="Courier New" w:eastAsia="Courier New"/>
          <w:color w:val="0A1628"/>
          <w:sz w:val="21"/>
          <w:szCs w:val="21"/>
        </w:rPr>
        <w:t xml:space="preserve">cd backend &amp;&amp; scripts/phone-modbus.sh &lt;IP-адрес&gt;[:порт]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Карта регистров демо-источника приведена в разделе 6. Изменение значения регистра отражается на панели в течение двух секунд; при потере связи историк фиксирует интервалы «нет связи» (quality=offline), восстановление — автоматическое.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5. Интерфейс оператора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Панель — одностраничное приложение с боковой навигацией: Обзор, Аналитика, Аварии, Профили, Настройки, Инструктор. Тема оформления переключается внизу бокового меню (по умолчанию светлая).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Times New Roman" w:eastAsia="Times New Roman"/>
          <w:b/>
          <w:bCs/>
          <w:color w:val="0A1628"/>
          <w:sz w:val="28"/>
          <w:szCs w:val="28"/>
        </w:rPr>
        <w:t xml:space="preserve">5.1. Страница «Обзор»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Сводное состояние фабрики: карточки технологических участков с текущими значениями и индикаторами качества каждого сигнала, живой график телеметрии по всем метрикам. Карточка участка подсвечивается при выходе значения за пределы, заданные активным профилем руды.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/>
          <w:i/>
          <w:iCs/>
          <w:color w:val="506070"/>
          <w:sz w:val="20"/>
          <w:szCs w:val="20"/>
        </w:rPr>
        <w:t xml:space="preserve">Рисунок 1. Страница «Обзор»: участки, живая телеметрия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Times New Roman" w:eastAsia="Times New Roman"/>
          <w:b/>
          <w:bCs/>
          <w:color w:val="0A1628"/>
          <w:sz w:val="28"/>
          <w:szCs w:val="28"/>
        </w:rPr>
        <w:t xml:space="preserve">5.2. Страница «Аналитика»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Расчётные технологические показатели, вычисляемые на сервере из последних измерений и активного профиля руды: содержание твёрдого в пульпе, удельный расход реагента, сухая производительность, статусы коридоров pH, крупности P80 и влажности. Формула каждого показателя выводится на карточке; отсутствие исходных данных отображается явно — значения не подменяются оценками.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/>
          <w:i/>
          <w:iCs/>
          <w:color w:val="506070"/>
          <w:sz w:val="20"/>
          <w:szCs w:val="20"/>
        </w:rPr>
        <w:t xml:space="preserve">Рисунок 2. Страница «Аналитика»: расчётные показатели и статусы коридоров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Times New Roman" w:eastAsia="Times New Roman"/>
          <w:b/>
          <w:bCs/>
          <w:color w:val="0A1628"/>
          <w:sz w:val="28"/>
          <w:szCs w:val="28"/>
        </w:rPr>
        <w:t xml:space="preserve">5.3. Страница «Аварии»</w:t>
      </w:r>
      <w:bookmarkEnd w:id="100010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Активные аварии и алермы в стиле ISA-18.2 с приоритетами (critical/high/medium), журналом тревог и квитированием. Квитирование выполняет аутентифицированный оператор (поле «Оператор»); событие фиксируется в неизменяемом журнале аудита.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/>
          <w:i/>
          <w:iCs/>
          <w:color w:val="506070"/>
          <w:sz w:val="20"/>
          <w:szCs w:val="20"/>
        </w:rPr>
        <w:t xml:space="preserve">Рисунок 3. Страница «Аварии»</w:t>
      </w:r>
    </w:p>
    <w:p>
      <w:pPr>
        <w:pStyle w:val="Heading2"/>
        <w:spacing w:after="120" w:before="240" w:line="312"/>
      </w:pPr>
      <w:bookmarkStart w:id="100011" w:name="_Toc100011"/>
      <w:r>
        <w:rPr>
          <w:rFonts w:ascii="Times New Roman" w:eastAsia="Times New Roman"/>
          <w:b/>
          <w:bCs/>
          <w:color w:val="0A1628"/>
          <w:sz w:val="28"/>
          <w:szCs w:val="28"/>
        </w:rPr>
        <w:t xml:space="preserve">5.4. Страница «Профили»</w:t>
      </w:r>
      <w:bookmarkEnd w:id="100011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Версионированные профили руды задают технологические коридоры и уставки. Жизненный цикл: черновик — согласование — активация. Активный профиль определяет пороги, по которым оцениваются коридоры на странице «Аналитика», и уставки демонстрационного симулятора.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Times New Roman" w:eastAsia="Times New Roman"/>
          <w:b/>
          <w:bCs/>
          <w:color w:val="0A1628"/>
          <w:sz w:val="28"/>
          <w:szCs w:val="28"/>
        </w:rPr>
        <w:t xml:space="preserve">5.5. Страница «Настройки»</w:t>
      </w:r>
      <w:bookmarkEnd w:id="100012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Администрирование платформы: реестр оборудования и сигналов (добавление участков и датчиков с выбором типа — температура, pH, плотность, расход, уровень, влажность и другие), история телеметрии с контролем качества, роли доступа и назначения (RBAC), журнал аудита. Регистрация сигнала делает его доступным приёму; источник данных указывается в конфигурации шлюза (раздел 6).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/>
          <w:i/>
          <w:iCs/>
          <w:color w:val="506070"/>
          <w:sz w:val="20"/>
          <w:szCs w:val="20"/>
        </w:rPr>
        <w:t xml:space="preserve">Рисунок 4. Страница «Настройки»: реестр, датчики, доступ</w:t>
      </w:r>
    </w:p>
    <w:p>
      <w:pPr>
        <w:pStyle w:val="Heading1"/>
        <w:spacing w:after="160" w:before="360" w:line="312"/>
      </w:pPr>
      <w:bookmarkStart w:id="100013" w:name="_Toc100013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6. Подключение источников данных</w:t>
      </w:r>
      <w:bookmarkEnd w:id="100013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Шлюз опрашивает приборы по драйверу, выбираемому переменной SOURCE_DRIVER: simulated (демо-генератор), opcua (poll/subscribe), modbus (Modbus TCP, только чтение, функции 1–4), sparkplug (MQTT Sparkplug B, роль host-приложения). Каждый сигнал описывается в переменной TAGS в формате «идентификатор_тега:единица|адрес_источника».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06070"/>
          <w:sz w:val="21"/>
          <w:szCs w:val="21"/>
        </w:rPr>
        <w:t xml:space="preserve">Таблица 4. Синтаксис адреса источника по драйверам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Драйвер</w:t>
            </w:r>
          </w:p>
        </w:tc>
        <w:tc>
          <w:tcPr>
            <w:tcW w:type="pct" w:w="4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Пример TAGS</w:t>
            </w:r>
          </w:p>
        </w:tc>
        <w:tc>
          <w:tcPr>
            <w:tcW w:type="pct" w:w="4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Пояснение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modbus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plant-a.grinding.mill_power:kW|reg=hr:100:f32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область hr|ir|c|di, адрес, тип bool/u16/i16/u32/i32/f32 (суффикс sw — перестановка слов), необязательный масштаб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opcua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…:unit|node=ns=2;s=Sim.PV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NodeId OPC UA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sparkplug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…:unit|sp=group/edge/metric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путь метрики Sparkplug B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Подключение сервера к OPC UA с политиками безопасности Sign/SignAndEncrypt и аутентификацией по сертификату x509 описано в ARCHITECTURE_DECISIONS.md (ADR-001). Драйверы не содержат путей записи — граница «только чтение» соблюдена на уровне кода.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Демонстрационная карта регистров для Modbus-симулятора на планшете: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06070"/>
          <w:sz w:val="21"/>
          <w:szCs w:val="21"/>
        </w:rPr>
        <w:t xml:space="preserve">Таблица 5. Демо-карта holding-регистров (масштаб применяется автоматически)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Регистр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Тег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Показатель</w:t>
            </w:r>
          </w:p>
        </w:tc>
        <w:tc>
          <w:tcPr>
            <w:tcW w:type="pct" w:w="1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Введите</w:t>
            </w:r>
          </w:p>
        </w:tc>
        <w:tc>
          <w:tcPr>
            <w:tcW w:type="pct" w:w="1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На панели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HR 0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plant-a.flotation.ph_level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pH флотации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958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9.58 pH</w:t>
            </w:r>
          </w:p>
        </w:tc>
      </w:tr>
      <w:tr>
        <w:trPr>
          <w:cantSplit/>
        </w:trPr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HR 2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plant-a.crushing.pulp_density</w:t>
            </w:r>
          </w:p>
        </w:tc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Плотность пульпы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1650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1.650 г/см³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HR 4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plant-a.dewatering.dryer_temperature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Температура сушки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1413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141.3 °C</w:t>
            </w:r>
          </w:p>
        </w:tc>
      </w:tr>
      <w:tr>
        <w:trPr>
          <w:cantSplit/>
        </w:trPr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HR 6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plant-a.dewatering.cake_moisture</w:t>
            </w:r>
          </w:p>
        </w:tc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Влажность кека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806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8.06 %</w:t>
            </w:r>
          </w:p>
        </w:tc>
      </w:tr>
    </w:tbl>
    <w:p>
      <w:pPr>
        <w:pStyle w:val="Heading1"/>
        <w:spacing w:after="160" w:before="360" w:line="312"/>
      </w:pPr>
      <w:bookmarkStart w:id="100014" w:name="_Toc100014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7. Расчётные технологические показатели</w:t>
      </w:r>
      <w:bookmarkEnd w:id="100014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Сервис historian вычисляет производные показатели (GET /api/v1/analytics/process) из последних измерений и активного профиля руды. Формулы прозрачны и проверяемы; отсутствие исходных данных даёт статус «нет данных» без подстановки оценок.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06070"/>
          <w:sz w:val="21"/>
          <w:szCs w:val="21"/>
        </w:rPr>
        <w:t xml:space="preserve">Таблица 6. Расчётные показатели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Показатель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Формула</w:t>
            </w:r>
          </w:p>
        </w:tc>
        <w:tc>
          <w:tcPr>
            <w:tcW w:type="pct" w:w="3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Пояснение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Твёрдое в пульпе, %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%S = ρт·(ρп−ρв)/((ρт−ρв)·ρп)·100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массовый баланс на 1 м³ пульпы; ρт = 2.7 г/см³ (сульфидные руды)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Удельный расход реагента, мЛ/т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q = Qр·60 / Qт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Qр — дозировка, мЛ/мин; Qт — производительность, т/ч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Сухая производительность, т/ч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Qсух = Qт·(1 − W/100)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W — влажность концентрата, %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Коридоры pH, P80, влажности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сравнение с thresholds профиля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статусы: норма / внимание (запас менее 10% диапазона) / нарушение</w:t>
            </w:r>
          </w:p>
        </w:tc>
      </w:tr>
    </w:tbl>
    <w:p>
      <w:pPr>
        <w:pStyle w:val="Heading1"/>
        <w:spacing w:after="160" w:before="360" w:line="312"/>
      </w:pPr>
      <w:bookmarkStart w:id="100015" w:name="_Toc100015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8. Справочник API (v1)</w:t>
      </w:r>
      <w:bookmarkEnd w:id="100015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Все методы доступны под префиксом /api/v1. Приём данных идемпотентен: повторная доставка не создаёт дублей. Полный контракт — TZ_DEVELOPMENT.md, контрактные тесты — internal/api.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06070"/>
          <w:sz w:val="21"/>
          <w:szCs w:val="21"/>
        </w:rPr>
        <w:t xml:space="preserve">Таблица 7. Основные методы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Метод и путь</w:t>
            </w:r>
          </w:p>
        </w:tc>
        <w:tc>
          <w:tcPr>
            <w:tcW w:type="pct" w:w="5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POST /ingest/telemetry(:batch)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Приём телеметрии от шлюзов (одиночный/пакетный)</w:t>
            </w:r>
          </w:p>
        </w:tc>
      </w:tr>
      <w:tr>
        <w:trPr>
          <w:cantSplit/>
        </w:trPr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GET /telemetry, /telemetry/latest</w:t>
            </w:r>
          </w:p>
        </w:tc>
        <w:tc>
          <w:tcPr>
            <w:tcW w:type="pct" w:w="5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История; последнее значение с признаком устаревания</w:t>
            </w:r>
          </w:p>
        </w:tc>
      </w:tr>
      <w:tr>
        <w:trPr>
          <w:cantSplit/>
        </w:trPr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GET /telemetry/aggregate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Агрегация в корзины (30с…1д; avg/min/max/sum/count/last)</w:t>
            </w:r>
          </w:p>
        </w:tc>
      </w:tr>
      <w:tr>
        <w:trPr>
          <w:cantSplit/>
        </w:trPr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GET /analytics/process</w:t>
            </w:r>
          </w:p>
        </w:tc>
        <w:tc>
          <w:tcPr>
            <w:tcW w:type="pct" w:w="5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Расчётные технологические показатели (раздел 7)</w:t>
            </w:r>
          </w:p>
        </w:tc>
      </w:tr>
      <w:tr>
        <w:trPr>
          <w:cantSplit/>
        </w:trPr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GET/POST /alarms/active, /alarms/{id}/ack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Активные аварии; квитирование с аудитом</w:t>
            </w:r>
          </w:p>
        </w:tc>
      </w:tr>
      <w:tr>
        <w:trPr>
          <w:cantSplit/>
        </w:trPr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GET/PUT/DELETE /alarms/limits</w:t>
            </w:r>
          </w:p>
        </w:tc>
        <w:tc>
          <w:tcPr>
            <w:tcW w:type="pct" w:w="5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Уставки (рационализация по ISA-18.2)</w:t>
            </w:r>
          </w:p>
        </w:tc>
      </w:tr>
      <w:tr>
        <w:trPr>
          <w:cantSplit/>
        </w:trPr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GET/POST /profiles(+ approve/activate)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Профили руды и управление изменениями</w:t>
            </w:r>
          </w:p>
        </w:tc>
      </w:tr>
      <w:tr>
        <w:trPr>
          <w:cantSplit/>
        </w:trPr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/assets, /tags, /gateways</w:t>
            </w:r>
          </w:p>
        </w:tc>
        <w:tc>
          <w:tcPr>
            <w:tcW w:type="pct" w:w="5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Реестр оборудования, сигналов, шлюзов</w:t>
            </w:r>
          </w:p>
        </w:tc>
      </w:tr>
      <w:tr>
        <w:trPr>
          <w:cantSplit/>
        </w:trPr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GET/POST /access/roles, /assignments, /audit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Роли, назначения, журнал аудита</w:t>
            </w:r>
          </w:p>
        </w:tc>
      </w:tr>
      <w:tr>
        <w:trPr>
          <w:cantSplit/>
        </w:trPr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GET /health</w:t>
            </w:r>
          </w:p>
        </w:tc>
        <w:tc>
          <w:tcPr>
            <w:tcW w:type="pct" w:w="5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Готовность сервиса и зависимостей</w:t>
            </w:r>
          </w:p>
        </w:tc>
      </w:tr>
      <w:tr>
        <w:trPr>
          <w:cantSplit/>
        </w:trPr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GET /ws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Живой поток событий панели (WebSocket)</w:t>
            </w:r>
          </w:p>
        </w:tc>
      </w:tr>
      <w:tr>
        <w:trPr>
          <w:cantSplit/>
        </w:trPr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GET /reports/readings/csv, /reports/alerts/csv</w:t>
            </w:r>
          </w:p>
        </w:tc>
        <w:tc>
          <w:tcPr>
            <w:tcW w:type="pct" w:w="5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Экспорт истории и тревог в CSV</w:t>
            </w:r>
          </w:p>
        </w:tc>
      </w:tr>
    </w:tbl>
    <w:p>
      <w:pPr>
        <w:pStyle w:val="Heading1"/>
        <w:spacing w:after="160" w:before="360" w:line="312"/>
      </w:pPr>
      <w:bookmarkStart w:id="100016" w:name="_Toc100016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9. Переменные окружения</w:t>
      </w:r>
      <w:bookmarkEnd w:id="100016"/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06070"/>
          <w:sz w:val="21"/>
          <w:szCs w:val="21"/>
        </w:rPr>
        <w:t xml:space="preserve">Таблица 8. Основные переменные (полный список — backend/.env.example)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Переменная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По умолчанию</w:t>
            </w:r>
          </w:p>
        </w:tc>
        <w:tc>
          <w:tcPr>
            <w:tcW w:type="pct" w:w="4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HTTP_ADDR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127.0.0.1:8000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адрес прослушивания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DB_URL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sqlite://./cap.db</w:t>
            </w:r>
          </w:p>
        </w:tc>
        <w:tc>
          <w:tcPr>
            <w:tcW w:type="pct" w:w="4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хранилище: sqlite:// либо postgres://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SIMULATOR_ENABLED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true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демо-генератор (выключать с реальными источниками)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STALENESS_SECONDS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60s</w:t>
            </w:r>
          </w:p>
        </w:tc>
        <w:tc>
          <w:tcPr>
            <w:tcW w:type="pct" w:w="4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порог признака устаревания данных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SOURCE_DRIVER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simulated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драйвер шлюза: simulated/opcua/modbus/sparkplug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MODBUS_ADDR / MODBUS_UNIT_ID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— / 1</w:t>
            </w:r>
          </w:p>
        </w:tc>
        <w:tc>
          <w:tcPr>
            <w:tcW w:type="pct" w:w="4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адрес Modbus TCP-устройства и unit id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MQTT_BROKER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адрес брокера для драйвера sparkplug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OPCUA_ENDPOINT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4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конечная точка OPC UA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TAGS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демо-набор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карта сигналов шлюза (раздел 6)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EVENT_SINKS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4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приёмники живых событий (режим микросервисов)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GATEWAY_BUFFER_DB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./gateway-buffer.db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файл буфера store-and-forward</w:t>
            </w:r>
          </w:p>
        </w:tc>
      </w:tr>
    </w:tbl>
    <w:p>
      <w:pPr>
        <w:pStyle w:val="Heading1"/>
        <w:spacing w:after="160" w:before="360" w:line="312"/>
      </w:pPr>
      <w:bookmarkStart w:id="100017" w:name="_Toc100017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10. Безопасность и границы применения</w:t>
      </w:r>
      <w:bookmarkEnd w:id="100017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Times New Roman"/>
          <w:color w:val="000000"/>
          <w:sz w:val="24"/>
          <w:szCs w:val="24"/>
        </w:rPr>
        <w:t xml:space="preserve">Платформа выполняет только операции чтения по отношению к АСУ ТП: драйверы не содержат функций записи, каналы управления отсутствуют.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Times New Roman"/>
          <w:color w:val="000000"/>
          <w:sz w:val="24"/>
          <w:szCs w:val="24"/>
        </w:rPr>
        <w:t xml:space="preserve">Изменение конфигурации (реестр, профили, уставки, роли) требует соответствующего разрешения RBAC и фиксируется в неизменяемом журнале аудита (кто, что, когда).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Times New Roman"/>
          <w:color w:val="000000"/>
          <w:sz w:val="24"/>
          <w:szCs w:val="24"/>
        </w:rPr>
        <w:t xml:space="preserve">Квитирование аварии не влияет на технологический процесс и не скрывает исходную историю событий.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Times New Roman"/>
          <w:color w:val="000000"/>
          <w:sz w:val="24"/>
          <w:szCs w:val="24"/>
        </w:rPr>
        <w:t xml:space="preserve">Симулятор и страница «Инструктор» предназначены только для разработки и обучения; в производственном развёртывании SIMULATOR_ENABLED=false.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Times New Roman"/>
          <w:color w:val="000000"/>
          <w:sz w:val="24"/>
          <w:szCs w:val="24"/>
        </w:rPr>
        <w:t xml:space="preserve">Для производственной среды используйте PostgreSQL, выделенные учётные записи и сетевое разграничение (OT-сегмент отделён от корпоративной сети).</w:t>
      </w:r>
    </w:p>
    <w:p>
      <w:pPr>
        <w:pStyle w:val="Heading1"/>
        <w:spacing w:after="160" w:before="360" w:line="312"/>
      </w:pPr>
      <w:bookmarkStart w:id="100018" w:name="_Toc100018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11. Диагностика неисправностей</w:t>
      </w:r>
      <w:bookmarkEnd w:id="100018"/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06070"/>
          <w:sz w:val="21"/>
          <w:szCs w:val="21"/>
        </w:rPr>
        <w:t xml:space="preserve">Таблица 9. Типовые ситуации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Симптом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Вероятная причина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Панель не открывается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Сервер не запущен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scripts/start.sh либо ./run.sh; проверьте /api/v1/health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Карточки показывают «нет данных», точки сигналов красные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Шлюз потерял связь с устройством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Проверьте адрес/порт источника, состояние прибора; журнал шлюза gateway.log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Значения не меняются при изменении регистра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Прибор шлёт неизменное значение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Это нормальное поведение: прямая линия = постоянный сигнал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В логе шлюза «server unreachable», растёт буфер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Сервер недоступен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Запустите сервер; буфер досылается автоматически (backfill)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403 при изменениях в реестре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У субъекта нет роли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Назначьте роль: Настройки → Уровни доступа (субъект admin — platform_admin)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Оглавление PDF/Word без номеров страниц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Поля не обновлены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В Word: правый клик по оглавлению — «Обновить поле»</w:t>
            </w:r>
          </w:p>
        </w:tc>
      </w:tr>
    </w:tbl>
    <w:p>
      <w:pPr>
        <w:pStyle w:val="Heading1"/>
        <w:spacing w:after="160" w:before="360" w:line="312"/>
      </w:pPr>
      <w:bookmarkStart w:id="100019" w:name="_Toc100019"/>
      <w:r>
        <w:rPr>
          <w:rFonts w:ascii="Times New Roman" w:eastAsia="Times New Roman"/>
          <w:b/>
          <w:bCs/>
          <w:color w:val="0A1628"/>
          <w:sz w:val="32"/>
          <w:szCs w:val="32"/>
        </w:rPr>
        <w:t xml:space="preserve">12. Свидетельство о приёмке</w:t>
      </w:r>
      <w:bookmarkEnd w:id="100019"/>
    </w:p>
    <w:p>
      <w:pPr>
        <w:spacing w:after="8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Выполнены автоматические проверки: контрактные и модульные тесты Go (gofmt, go vet, go build, go test), сборка веб-панели, живые сценарии: монолитный запуск, микросервисный запуск, сквозной сценарий отказа сервера с полным досылом буфера, приём телеметрии от реального Modbus TCP-устройства, расчётные показатели. Результат — соответствие функциональным требованиям MVP.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06070"/>
          <w:sz w:val="21"/>
          <w:szCs w:val="21"/>
        </w:rPr>
        <w:t xml:space="preserve">Таблица 10. Сведения о версии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pct" w:w="6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Обозначение документа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CAP-РЭ-01 (руководство по эксплуатации)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Версия платформы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MVP, коммит main (см. git log)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Дата составления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10.09.2026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Состав документа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12 разделов, 10 таблиц, 4 рисунка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Язык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Русский</w:t>
            </w:r>
          </w:p>
        </w:tc>
      </w:tr>
    </w:tbl>
    <w:p>
      <w:pPr>
        <w:spacing w:after="0" w:line="312"/>
        <w:ind w:firstLine="709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Документ сопровождает исходный код репозитория и обновляется при изменении состава системы. Вопросы эксплуатации — файлы README.md, LOCAL_DEVELOPMENT.md, TZ_DEVELOPMENT.md в корне репозитория.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rFonts w:ascii="Times New Roman" w:eastAsia="Times New Roman"/>
        <w:color w:val="506070"/>
        <w:sz w:val="16"/>
        <w:szCs w:val="16"/>
      </w:rPr>
      <w:t xml:space="preserve">CAP — Руководство по эксплуатации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rFonts w:ascii="Times New Roman" w:eastAsia="Times New Roman"/>
        <w:color w:val="506070"/>
        <w:sz w:val="16"/>
        <w:szCs w:val="16"/>
      </w:rPr>
      <w:t xml:space="preserve">CAP — Руководство по эксплуатации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Times New Roman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Times New Roman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54dbc8cae9956a03f6aaa87bd181b3dc2cafc8c9.png"/><Relationship Id="rId12" Type="http://schemas.openxmlformats.org/officeDocument/2006/relationships/image" Target="media/2f9722f4ae51333ac14eddec5c8ba5db4148419b.png"/><Relationship Id="rId13" Type="http://schemas.openxmlformats.org/officeDocument/2006/relationships/image" Target="media/8eebe15a5f5acf2201ff0e3e6640f6e5b2b610e5.png"/><Relationship Id="rId14" Type="http://schemas.openxmlformats.org/officeDocument/2006/relationships/image" Target="media/d3db0cedbfec2b817c7ba42e939668a3c963910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2026-09-09T20:59:59.553Z</dcterms:created>
  <dcterms:modified xsi:type="dcterms:W3CDTF">2026-09-09T20:59:59.636Z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