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</w:tcPr>
          <w:p>
            <w:pPr>
              <w:spacing w:before="4241"/>
            </w:pPr>
          </w:p>
          <w:p>
            <w:pPr>
              <w:pBdr>
                <w:bottom w:val="single" w:color="38BDF8" w:sz="6" w:space="8"/>
              </w:pBdr>
              <w:spacing w:after="500"/>
              <w:ind w:left="1200" w:right="800"/>
            </w:pPr>
            <w:r>
              <w:rPr>
                <w:rFonts w:ascii="Times New Roman" w:hAnsi="Times New Roman"/>
                <w:color w:val="38BDF8"/>
                <w:spacing w:val="40"/>
                <w:sz w:val="18"/>
                <w:szCs w:val="18"/>
              </w:rPr>
              <w:t xml:space="preserve">O  P  E  R  A  T  O  R     M  A  N  U  A  L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CAP — Руководство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оператора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Times New Roman" w:hAnsi="Times New Roman"/>
                <w:color w:val="B8C4D4"/>
                <w:sz w:val="24"/>
                <w:szCs w:val="24"/>
              </w:rPr>
              <w:t xml:space="preserve">Участок флотационного обогащения руды: мониторинг, управление, тревоги, отчётность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Аудитория: операторы, технологи, дежурный инженерный персонал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Версия документа: 2.0 (пересмотр по состоянию кода)</w:t>
            </w:r>
          </w:p>
          <w:p>
            <w:pPr>
              <w:pBdr>
                <w:left w:val="single" w:color="38BDF8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5DEEA"/>
                <w:sz w:val="24"/>
                <w:szCs w:val="24"/>
              </w:rPr>
              <w:t xml:space="preserve">Дата выпуска: сентябрь 2026 г.</w:t>
            </w:r>
          </w:p>
          <w:p>
            <w:pPr>
              <w:spacing w:before="4241"/>
            </w:pPr>
          </w:p>
          <w:p>
            <w:pPr>
              <w:pBdr>
                <w:top w:val="single" w:color="38BDF8" w:sz="2" w:space="8"/>
              </w:pBdr>
              <w:spacing w:before="200"/>
              <w:ind w:left="1200" w:right="800"/>
            </w:pPr>
            <w:r>
              <w:rPr>
                <w:rFonts w:ascii="Times New Roman" w:hAnsi="Times New Roman"/>
                <w:color w:val="7C8DA6"/>
                <w:sz w:val="16"/>
                <w:szCs w:val="16"/>
              </w:rPr>
              <w:t xml:space="preserve">CAP — Complex Automation Pro</w:t>
            </w:r>
            <w:r>
              <w:t xml:space="preserve">                                        </w:t>
            </w:r>
            <w:r>
              <w:rPr>
                <w:rFonts w:ascii="Times New Roman" w:hAnsi="Times New Roman"/>
                <w:color w:val="7C8DA6"/>
                <w:sz w:val="16"/>
                <w:szCs w:val="16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Руководство оператора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Назначение документа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Запуск системы и вход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Рабочее место оператора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Мнемосхема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Паспорт объекта (faceplate)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Контуры управления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6.1. Элементы панели контура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6.2. Адаптивная настройка (gain scheduling)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6.3. pH-контур и его защитные зоны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6.4. Температура оборудования и маслостанция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7. Тренды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8. Металлургический баланс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9. Тревоги и действия оператора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9.1. Приоритеты и состояния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9.2. Квитирование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9.3. Типовые ситуации и реагирование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10. Профили руды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11. Администрирование (справочно)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11.1. Сценарии демонстрационного стенда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12. Отчёты и выгрузки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13. Практические замечания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обновить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134" w:right="850" w:bottom="1134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 w:line="312"/>
      </w:pPr>
      <w:bookmarkStart w:id="100000" w:name="_Toc10000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1. Назначение документа</w:t>
      </w:r>
      <w:bookmarkEnd w:id="100000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Настоящее руководство описывает работу оператора в системе CAP — системе диспетчерского контроля и управления участком флотационного обогащения руды. Документ охватывает все рабочие экраны, типовые операции (контроль технологических параметров, управление контурами, квитирование тревог, отчёты) и действия при характерных ситуациях. Административные функции (реестр КПА, пользователи, сценарии стенда) приведены справочно.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Состав системы: сервер capd (все функции платформы и веб-интерфейс), шлюз сбора edge (опрос Modbus и запись актуаторов) и демонстрационный стенд plantsim, эмулирующий технологический процесс. В промышленной эксплуатации стенд заменяется контроллерами завода, порядок работы оператора при этом не меняется.</w:t>
      </w:r>
    </w:p>
    <w:p>
      <w:pPr>
        <w:pStyle w:val="Heading1"/>
        <w:spacing w:after="160" w:before="400" w:line="312"/>
      </w:pPr>
      <w:bookmarkStart w:id="100001" w:name="_Toc100001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2. Запуск системы и вход</w:t>
      </w:r>
      <w:bookmarkEnd w:id="100001"/>
    </w:p>
    <w:p>
      <w:pPr>
        <w:spacing w:after="100" w:before="60" w:line="312"/>
        <w:ind w:firstLine="709"/>
        <w:jc w:val="both"/>
      </w:pPr>
      <w:r>
        <w:rPr>
          <w:rFonts w:ascii="Times New Roman" w:hAnsi="Times New Roman"/>
          <w:b/>
          <w:bCs/>
          <w:color w:val="0F172A"/>
          <w:sz w:val="24"/>
          <w:szCs w:val="24"/>
        </w:rPr>
        <w:t xml:space="preserve">Запуск. </w:t>
      </w:r>
      <w:r>
        <w:rPr>
          <w:rFonts w:ascii="Times New Roman" w:hAnsi="Times New Roman"/>
          <w:color w:val="1A2332"/>
          <w:sz w:val="24"/>
          <w:szCs w:val="24"/>
        </w:rPr>
        <w:t xml:space="preserve">На компьютере с сервером выполните в каталоге backend команду ./run.sh — система соберёт и запустит три процесса (стенд, сервер, шлюз), очистит базу для чистого сеанса и выведет адрес входа. Признак готовности — сообщение «Готово: http://127.0.0.1:8000».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cd backend &amp;&amp; ./run.sh      # стенд + сервер + шлюз, свежая БД</w:t>
      </w:r>
    </w:p>
    <w:p>
      <w:pPr>
        <w:shd w:fill="F4F7FA" w:val="clear"/>
        <w:spacing w:after="120" w:before="60" w:line="276"/>
        <w:ind w:left="400"/>
      </w:pPr>
      <w:r>
        <w:rPr>
          <w:rFonts w:ascii="Courier New" w:hAnsi="Courier New"/>
          <w:color w:val="1A2332"/>
          <w:sz w:val="16"/>
          <w:szCs w:val="16"/>
        </w:rPr>
        <w:t xml:space="preserve">demo/run-demo.sh            # скриптованная демонстрация, 7 сценариев</w:t>
      </w:r>
    </w:p>
    <w:p>
      <w:pPr>
        <w:spacing w:after="100" w:before="60" w:line="312"/>
        <w:ind w:firstLine="709"/>
        <w:jc w:val="both"/>
      </w:pPr>
      <w:r>
        <w:rPr>
          <w:rFonts w:ascii="Times New Roman" w:hAnsi="Times New Roman"/>
          <w:b/>
          <w:bCs/>
          <w:color w:val="0F172A"/>
          <w:sz w:val="24"/>
          <w:szCs w:val="24"/>
        </w:rPr>
        <w:t xml:space="preserve">Вход. </w:t>
      </w:r>
      <w:r>
        <w:rPr>
          <w:rFonts w:ascii="Times New Roman" w:hAnsi="Times New Roman"/>
          <w:color w:val="1A2332"/>
          <w:sz w:val="24"/>
          <w:szCs w:val="24"/>
        </w:rPr>
        <w:t xml:space="preserve">Откройте адрес сервера в браузере. На экране входа введите имя пользователя и пароль и нажмите «Войти». Стартовые учётные записи: operator/operator (оператор) и admin/admin (администратор) — демонстрационные. Ошибка входа показывается красной плашкой над формой.</w:t>
      </w:r>
    </w:p>
    <w:p>
      <w:pPr>
        <w:spacing w:after="160" w:before="6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12"/>
        <w:ind w:firstLine="709"/>
        <w:jc w:val="both"/>
      </w:pPr>
      <w:r>
        <w:rPr>
          <w:rFonts w:ascii="Times New Roman" w:hAnsi="Times New Roman"/>
          <w:b/>
          <w:bCs/>
          <w:color w:val="0F172A"/>
          <w:sz w:val="24"/>
          <w:szCs w:val="24"/>
        </w:rPr>
        <w:t xml:space="preserve">Выход и темы. </w:t>
      </w:r>
      <w:r>
        <w:rPr>
          <w:rFonts w:ascii="Times New Roman" w:hAnsi="Times New Roman"/>
          <w:color w:val="1A2332"/>
          <w:sz w:val="24"/>
          <w:szCs w:val="24"/>
        </w:rPr>
        <w:t xml:space="preserve">Кнопка «Выйти» внизу левой панели завершает сеанс. Рядом переключается светлая и тёмная тема — выбор сохраняется между сеансами. Индикатор связи над кнопкой темы отображает состояние канала данных: зелёная точка «Оперативная связь» — данные поступают; жёлтая мигающая «Соединение…» — идёт восстановление; красная «Нет связи» — канал потерян.</w:t>
      </w:r>
    </w:p>
    <w:p>
      <w:pPr>
        <w:spacing w:after="100" w:before="60" w:line="312"/>
        <w:ind w:firstLine="709"/>
        <w:jc w:val="both"/>
      </w:pPr>
      <w:r>
        <w:rPr>
          <w:rFonts w:ascii="Times New Roman" w:hAnsi="Times New Roman"/>
          <w:b/>
          <w:bCs/>
          <w:color w:val="0F172A"/>
          <w:sz w:val="24"/>
          <w:szCs w:val="24"/>
        </w:rPr>
        <w:t xml:space="preserve">Баннер критической тревоги. </w:t>
      </w:r>
      <w:r>
        <w:rPr>
          <w:rFonts w:ascii="Times New Roman" w:hAnsi="Times New Roman"/>
          <w:color w:val="1A2332"/>
          <w:sz w:val="24"/>
          <w:szCs w:val="24"/>
        </w:rPr>
        <w:t xml:space="preserve">При появлении неквитированной критической тревоги поверх всех страниц выводится красный мигающий баннер с текстом тревоги и ссылкой «перейти к тревогам». Баннер не закрывается сам — он исчезает только после квитирования или сброса тревоги.</w:t>
      </w:r>
    </w:p>
    <w:p>
      <w:pPr>
        <w:pStyle w:val="Heading1"/>
        <w:spacing w:after="160" w:before="400" w:line="312"/>
      </w:pPr>
      <w:bookmarkStart w:id="100002" w:name="_Toc100002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3. Рабочее место оператора</w:t>
      </w:r>
      <w:bookmarkEnd w:id="100002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Слева расположена панель навигации с семью разделами: «Мнемосхема», «Тренды», «Металлургия», «Управление», «Тревоги», «Профили руды», «Администрирование». Ниже — индикатор связи, переключатель темы и сведения о сеансе (пользователь, роль). Правая часть — рабочий экран выбранного раздела.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Обозначение данных: значения отображаются с единицами измерения; цвет значения — обычный при достоверном качестве (good), жёлтый — при сомнительном или недостоверном (например, stale), прочерк — данных нет. Числа выводятся табличным шрифтом, чтобы значения не «дрожали» при ежесекундном обновлении.</w:t>
      </w:r>
    </w:p>
    <w:p>
      <w:pPr>
        <w:pStyle w:val="Heading1"/>
        <w:spacing w:after="160" w:before="400" w:line="312"/>
      </w:pPr>
      <w:bookmarkStart w:id="100003" w:name="_Toc100003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4. Мнемосхема</w:t>
      </w:r>
      <w:bookmarkEnd w:id="100003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Мнемосхема — вертикальная технологическая схема участка: «Дробление» → «Измельчение» (с контуром гидроциклона и возвратом песков) → «Флотация» → «Сгущение» → «Фильтрация». Зелёная ветка вправо — концентрат и отгрузка (массовый расход, т/ч), оранжевая ветвь влево — хвосты. На каждом узле отображены его ключевые измерения с живыми значениями.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Один клик по узлу открывает паспорт объекта (faceplate) — модальное окно с параметрами и контурами управления узла.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Рамка узла жёлтая с надписью «нет связи» — по всем тегам узла давно нет достоверных данных (обрыв канала).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Клик по мета-веткам показывает текущие массовые потоки концентрата и хвостов — баланс питания виден в числах.</w:t>
      </w:r>
    </w:p>
    <w:p>
      <w:pPr>
        <w:pStyle w:val="Heading1"/>
        <w:spacing w:after="160" w:before="400" w:line="312"/>
      </w:pPr>
      <w:bookmarkStart w:id="100004" w:name="_Toc100004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5. Паспорт объекта (faceplate)</w:t>
      </w:r>
      <w:bookmarkEnd w:id="100004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Паспорт открывается кликом по узлу мнемосхемы. В верхней части — таблица всех входных измерений узла: параметр, значение с единицей, качество. В нижней части — компактные панели всех контуров управления, привязанных к узлу. Закрытие: кнопка «✕», клик по затемнению или клавиша Esc.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Цвет качества в таблице: зелёный good — достоверное измерение; жёлтый — сомнительное или недостоверное (данные устарели, датчик неисправен, канал оборван); серый «нет данных» — измерений ещё не поступало. Управляющие элементы панелей контуров описаны в разделе 6.</w:t>
      </w:r>
    </w:p>
    <w:p>
      <w:pPr>
        <w:pStyle w:val="Heading1"/>
        <w:spacing w:after="160" w:before="400" w:line="312"/>
      </w:pPr>
      <w:bookmarkStart w:id="100005" w:name="_Toc100005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6. Контуры управления</w:t>
      </w:r>
      <w:bookmarkEnd w:id="100005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Раздел «Управление» содержит полные панели всех контуров. Контур — супервизорный ПИД на сервере: он сравнивает измерение (PV) с уставкой (SP) и вычисляет воздействие (MV) на исполнительный механизм. Запись в станцию выполняет шлюз методом FC6 только в режиме АВТО; в ручном режиме выход заморожен на последнем значении.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1 — Контуры, привязка и диапазоны уставок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Контур</w:t>
            </w:r>
          </w:p>
        </w:tc>
        <w:tc>
          <w:tcPr>
            <w:tcW w:type="pct" w:w="2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Задача</w:t>
            </w:r>
          </w:p>
        </w:tc>
        <w:tc>
          <w:tcPr>
            <w:tcW w:type="pct" w:w="1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PV (измерение)</w:t>
            </w:r>
          </w:p>
        </w:tc>
        <w:tc>
          <w:tcPr>
            <w:tcW w:type="pct" w:w="2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MV (воздействие)</w:t>
            </w:r>
          </w:p>
        </w:tc>
        <w:tc>
          <w:tcPr>
            <w:tcW w:type="pct" w:w="1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SP по умолчанию</w:t>
            </w:r>
          </w:p>
        </w:tc>
        <w:tc>
          <w:tcPr>
            <w:tcW w:type="pct" w:w="1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Диапазон SP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lic301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Уровень пульпы флотомашины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li301, мм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lc301 (хвостовая задвижка), %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500 мм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450–650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fic301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Удельный расход собирателя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qi301, мл/мин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fc301 (насос собирателя), мл/мин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108 мл/мин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30–300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dic401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Плотность сгущённого продукта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di401, % тв.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fc401 (насос разгрузки), %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45 % тв.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40–55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phc301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 пульпы флотации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ph301, pH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acid_doser (дозатор реагента), %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9,0 pH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7,5–10,5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tic201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Температура подшипника мельницы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ti201, °C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ho101 (клапан маслостанции), %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55 °C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40–70</w:t>
            </w:r>
          </w:p>
        </w:tc>
      </w:tr>
    </w:tbl>
    <w:p>
      <w:pPr>
        <w:pStyle w:val="Heading2"/>
        <w:spacing w:after="120" w:before="280" w:line="312"/>
      </w:pPr>
      <w:bookmarkStart w:id="100006" w:name="_Toc100006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6.1. Элементы панели контура</w:t>
      </w:r>
      <w:bookmarkEnd w:id="100006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Шапка: название, связка «PV-тег → MV-тег», состояние («норма» — зелёным; «потеря PV → ручной» — красным при срабатывании watchdog).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Кнопка режима «АВТО/РУЧН»: клик переключает режим с подтверждением. Переход в АВТО — безударный: регулятор стартует от текущей позиции механизма, скачка воздействия не будет.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Плашки PV / Уставка SP / Выход MV: текущее измерение, уставка, выход в инженерных единицах и процентах диапазона; под ними — полоса выхода (зелёная в АВТО, жёлтая в РУЧН).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Поле SP и кнопка «Изменить SP»: ввод значения, клик, затем явное подтверждение «Да, записать». Диапазон допустимых значений подсказан в поле (например, «SP 450…650»).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Кнопка «Записать MV в станцию» (только в РУЧН): однократно отправляет текущее значение выхода на механизм.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Все переключения режимов и записи уставок выполняются с подтверждением и фиксируются в журнале аудита. При потере актуального PV (старше 10 с) контур автоматически переходит в ручной режим, выход замораживается в безопасном положении и поднимается тревога control_fault — принцип безопасного состояния по IEC 61511. Возврат в АВТО — вручную после восстановления данных.</w:t>
      </w:r>
    </w:p>
    <w:p>
      <w:pPr>
        <w:pStyle w:val="Heading2"/>
        <w:spacing w:after="120" w:before="280" w:line="312"/>
      </w:pPr>
      <w:bookmarkStart w:id="100007" w:name="_Toc100007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6.2. Адаптивная настройка (gain scheduling)</w:t>
      </w:r>
      <w:bookmarkEnd w:id="100007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Раскрывающийся блок «Адаптивная настройка» подключает пересчёт Kp/Ki в реальном времени по индикатору усиления процесса — например, по производительности питателя. Это позволяет одному контуру уверенно работать при разных режимах сырья без ручной перенастройки.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Установите флажок «Включить адаптивную настройку».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Укажите тег индикатора (например, plant.crushing.fi101) и диапазон Gain Low / Gain High (по умолчанию 50 и 200 т/ч).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Подтвердите — на панели появится бейдж «ADAPT ×N» с текущим множителем коэффициентов.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Множитель линейно растёт от ×0,5 на нижней границе диапазона до ×1,5 на верхней; вне диапазона он ограничен значениями ×0,25…×4,0, а сами Kp/Ki — коридором от 0,25 до 4 базовых значений. Пересчёт выполняется на каждом такте без переинициализации контура — переходы плавные. Кнопка «Отключить adaptive» возвращает базовые настройки.</w:t>
      </w:r>
    </w:p>
    <w:p>
      <w:pPr>
        <w:pStyle w:val="Heading2"/>
        <w:spacing w:after="120" w:before="280" w:line="312"/>
      </w:pPr>
      <w:bookmarkStart w:id="100008" w:name="_Toc100008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6.3. pH-контур и его защитные зоны</w:t>
      </w:r>
      <w:bookmarkEnd w:id="100008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Контур phc301 — специализированный регулятор pH с автоматической подачей корректирующего реагента. В панели контура настраиваются две защитные зоны вокруг уставки: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Предупредительная зона (по умолчанию ±0,2 pH): при выходе за неё поднимается тревога-предупреждение, контур продолжает работу в АВТО.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Критическая зона (по умолчанию ±0,5 pH): поднимается критическая тревога, контур принудительно переводится в ручной режим с заморозкой выхода — вмешательство оператора обязательно.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Самонастройка (флажок «Self-tuning Kp/Ki»): коэффициенты корректируются по температуре пульпы (Kp) и её расходу (Ki) — реакция химии процесса на температуру и нагрузку компенсируется автоматически.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При возврате pH в зону нормы тревоги контура снимаются автоматически. Примечание для демонстрации: в стенде отдельный канал pH-дозатора не эмулируется, поэтому PV контура отображается как «—»; логика зон и настройка доступны и показываются в интерфейсе. На реальном объекте контур работает штатно.</w:t>
      </w:r>
    </w:p>
    <w:p>
      <w:pPr>
        <w:pStyle w:val="Heading2"/>
        <w:spacing w:after="120" w:before="280" w:line="312"/>
      </w:pPr>
      <w:bookmarkStart w:id="100009" w:name="_Toc100009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6.4. Температура оборудования и маслостанция</w:t>
      </w:r>
      <w:bookmarkEnd w:id="100009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На мнемосхеме каждый узел несёт температурный бейдж (подшипники дробилки и мельницы, пульпа флотации, привод гребков, вакуум-насос); при превышении верхнего предела бейдж краснеет. Рядом расположен узел «Маслостанция» с положением клапана ho101: 100 % — аварийный залив.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Контур tic201 (температура подшипника мельницы → клапан масла) работает как обычный ПИД с уставкой 55 °C, но имеет температурный интерлок: при 75 °C и выше клапан принудительно открывается на 100 % даже из ручного режима (состояние панели — «ПЕРЕГРЕВ → масло 100 %», критическая тревога). Сброс — после остывания ниже 70 °C: контур возвращается оператору в ручной режим, клапан остаётся в текущем положении. Для демонстрации используйте сценарий «Пиковая нагрузка мельницы» (раздел 11.1): перегрев развивается за 1–2 минуты и гарантированно проходит порог интерлока.</w:t>
      </w:r>
    </w:p>
    <w:p>
      <w:pPr>
        <w:pStyle w:val="Heading1"/>
        <w:spacing w:after="160" w:before="400" w:line="312"/>
      </w:pPr>
      <w:bookmarkStart w:id="100010" w:name="_Toc10001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7. Тренды</w:t>
      </w:r>
      <w:bookmarkEnd w:id="100010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Раздел отображает временные ряды выбранных тегов («перьев»). Таблица перьев показывает цвет, имя, текущее значение и единицу; удаление — кнопкой «✕». Добавление перьев — через список справа с поиском по имени или идентификатору. Стартовый набор: производительность питателя, pH пульпы, извлечение Cu.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Диапазоны времени: «15 мин» (из живого буфера, ~600 точек), «1 ч», «8 ч», «24 ч» (из историка).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Флажок «нормировка»: все перья приводятся к 0–100 % инженерной шкалы своего тега — удобно совмещать разнородные величины.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Курсор: при движении мыши по графику отображается вертикальная линия и время в точке курсора.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Разрывы линии: точки с недостоверным качеством или отсутствием данных не соединяются — обрыв канала виден как пропуск, фиктивных значений не появляется.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Цикл XRF-анализатора виден на перьях содержания меди как ступеньки с периодом 60 с — это штатное поведение лабораторного анализа, а не сбой.</w:t>
      </w:r>
    </w:p>
    <w:p>
      <w:pPr>
        <w:pStyle w:val="Heading1"/>
        <w:spacing w:after="160" w:before="400" w:line="312"/>
      </w:pPr>
      <w:bookmarkStart w:id="100011" w:name="_Toc100011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8. Металлургический баланс</w:t>
      </w:r>
      <w:bookmarkEnd w:id="100011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Раздел обновляется каждые 5 секунд. Сверху — статус («баланс сходится» или «требует проверки») и время расчёта. Таблица потоков приводит питание, концентрат и хвосты: масса (т/ч), содержание Cu (%), металл (т/ч). Ниже — карточки показателей со значением, целевым коридором, формулой расчёта и тегами-источниками.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Извлечение Cu, выход концентрата, коэффициент обогащения — баланс по двухпродуктовой формуле.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Невязка массового баланса (норма ≤ ±1 %) и сходимость извлечений (≤ 5 %) — индикаторы достоверности аналитики.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Энергия по Бонду, КПД мельницы, циркулирующая нагрузка — показатели измельчения.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Удельный расход собирателя, нагрузка сгустителя, вода с кеком — вспомогательные материальные показатели.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Статус карточки: «норма» (зелёная) — в целевом коридоре; «вне коридора» (жёлтая) — ниже цели; «нет данных» (серая) — недостаточно достоверной телеметрии. Если невязка выходит за допуск, заголовок панели меняется на «требует проверки» с пояснением «данные несогласованы: проверь XRF/весы» — вероятен дрейф анализатора или отказ весов.</w:t>
      </w:r>
    </w:p>
    <w:p>
      <w:pPr>
        <w:pStyle w:val="Heading1"/>
        <w:spacing w:after="160" w:before="400" w:line="312"/>
      </w:pPr>
      <w:bookmarkStart w:id="100012" w:name="_Toc100012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9. Тревоги и действия оператора</w:t>
      </w:r>
      <w:bookmarkEnd w:id="100012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Раздел состоит из таблицы активных тревог и журнала событий. Данные обновляются каждые 5 с, плюс события поступают в реальном времени. Счётчик «неквитированных» показывает, сколько тревог ждут реакции оператора.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 w:line="312"/>
      </w:pPr>
      <w:bookmarkStart w:id="100013" w:name="_Toc100013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9.1. Приоритеты и состояния</w:t>
      </w:r>
      <w:bookmarkEnd w:id="100013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2 — Приоритеты тревог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Приоритет</w:t>
            </w:r>
          </w:p>
        </w:tc>
        <w:tc>
          <w:tcPr>
            <w:tcW w:type="pct" w:w="2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pct" w:w="34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Смысл</w:t>
            </w:r>
          </w:p>
        </w:tc>
        <w:tc>
          <w:tcPr>
            <w:tcW w:type="pct" w:w="3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Реакция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КРИТИЧЕСКИЙ (красный)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угроза безопасности оборудования или потери металла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немедленное вмешательство; выводится баннером на всех страницах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высокий (жёлтый)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отклонение технологического параметра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оценка и вмешательство в ближайшие минуты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средний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служебные отклонения, потеря связи по активу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контроль, планирование действий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низкий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информационные события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 мере возможности</w:t>
            </w:r>
          </w:p>
        </w:tc>
      </w:tr>
    </w:tbl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Состояния по ISA-18.2: активная неквитированная (требует квитирования), активная квитированная (оператор взял в работу), сброшенная (параметр вернулся в норму). Журнал внизу страницы хранит все события неизменно: время, тип («сработала», «сброшена», «квитирована»), тег, сообщение, оператор. Фильтр «мин. приоритет» ограничивает журнал выбранным уровнем.</w:t>
      </w:r>
    </w:p>
    <w:p>
      <w:pPr>
        <w:pStyle w:val="Heading2"/>
        <w:spacing w:after="120" w:before="280" w:line="312"/>
      </w:pPr>
      <w:bookmarkStart w:id="100014" w:name="_Toc100014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9.2. Квитирование</w:t>
      </w:r>
      <w:bookmarkEnd w:id="100014"/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Отметьте флажками нужные неквитированные тревоги (или одну — кнопкой в строке).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Нажмите «Квитировать выбранные (N)».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Система зафиксирует ваше имя из сеанса и время; состояние изменится, баннер критической тревоги погаснет после квитирования и сброса.</w:t>
      </w:r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Квитирование — это подтверждение, что оператор увидел тревогу, а не устранение её причины: активная тревога остаётся в списке, пока параметр не вернётся в норму.</w:t>
      </w:r>
    </w:p>
    <w:p>
      <w:pPr>
        <w:pStyle w:val="Heading2"/>
        <w:spacing w:after="120" w:before="280" w:line="312"/>
      </w:pPr>
      <w:bookmarkStart w:id="100015" w:name="_Toc100015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9.3. Типовые ситуации и реагирование</w:t>
      </w:r>
      <w:bookmarkEnd w:id="100015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3 — Действия по характерным тревогам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Ситуация</w:t>
            </w:r>
          </w:p>
        </w:tc>
        <w:tc>
          <w:tcPr>
            <w:tcW w:type="pct" w:w="32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Признаки</w:t>
            </w:r>
          </w:p>
        </w:tc>
        <w:tc>
          <w:tcPr>
            <w:tcW w:type="pct" w:w="4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Действия оператора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Ухудшение руды (крупнее помол)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xi201 растёт к 190 мкм; извлечение падает; aft301 превышает 0,12–0,18 % (критическая)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Снизить воду в мельницу (ручная запись fc201 55→45 %) — слив станет тоньше; поднять уставку fic301 (108→200 мл/т) — усиление собирателя. Контроль восстановления ε и θ.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Перелив флотомашины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li301 приближается к 700–760 мм (hi/hi_hi)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Проверить режим lic301; в РУЧН приоткрыть задвижку lc301 («Записать MV в станцию»); после стабилизации вернуть АВТО.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Отказ насоса сгустителя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fc401 падает к 0; li401 и ei401 растут; тревоги hi → hi_hi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Взять dic401 в РУЧН, поднять выход fc401 (полоса выхода, «Записать MV в станцию»); постель сядет, момент спадёт; квитировать тревоги.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pH вне окна извлечения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ai301 ниже 9,6 (lo) или выше 10,8 (hi); тревога ph_warning у контура phc301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Проверить подачу реагента; при критическом отклонении (±0,5) контур сам уйдёт в РУЧН — устранить причину и вернуть АВТО.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Нет связи с активом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comm_loss; узел на мнемосхеме «нет связи»; разрывы на трендах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Проверить канал/питание контроллера; данные с качеством offline в управление не подают; после восстановления — контроль достоверности и возврат контуров в АВТО.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Данные несогласованы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панель металлургии «требует проверки», невязка &gt; 1 %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Вероятен дрейф XRF или весов: сравнить показания α/β/θ, при подтверждении — заявка на поверку; решения по балансу не принимать.</w:t>
            </w:r>
          </w:p>
        </w:tc>
      </w:tr>
    </w:tbl>
    <w:p>
      <w:pPr>
        <w:pStyle w:val="Heading1"/>
        <w:spacing w:after="160" w:before="400" w:line="312"/>
      </w:pPr>
      <w:bookmarkStart w:id="100016" w:name="_Toc100016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10. Профили руды</w:t>
      </w:r>
      <w:bookmarkEnd w:id="100016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Профиль задаёт ожидания по руде: содержание в питании, целевое качество концентрата, минимальное извлечение и тип руды (сульфидная, смешанная, окисленная). Целевые коридоры карточек металлургии берутся из активного профиля. Изменение профиля — управляемая процедура с версиями.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«+ Новый профиль»: название, рудный домен, содержание в питании, целевое β, минимальное извлечение → «Создать черновик».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«Согласовать» — черновик переводится в согласованное состояние (фиксируется согласующий).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«Активировать» — профиль становится активным, прежний помечается как заменённый; коридоры целей в металлургии обновляются.</w:t>
      </w:r>
    </w:p>
    <w:p>
      <w:pPr>
        <w:pStyle w:val="Heading1"/>
        <w:spacing w:after="160" w:before="400" w:line="312"/>
      </w:pPr>
      <w:bookmarkStart w:id="100017" w:name="_Toc100017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11. Администрирование (справочно)</w:t>
      </w:r>
      <w:bookmarkEnd w:id="100017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Раздел из четырёх вкладок предназначен для инженера и администратора; оператору он нужен преимущественно для просмотра реестра и сценариев демонстрации.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«Реестр КПА»: активы (6) и теги (43) с единицами, шкалами и направлением (входной/выходной актуатор).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«Запрос телеметрии»: сырые точки любого тега за последние записи — время, значение, качество, шлюз; для диагностики.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«Доступ и аудит»: роли и права, назначения ролей, журнал аудита всех мутаций (кто, когда, что).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«Сценарии стенда»: управление демонстрационным стендом; каждая команда проходит через API с аудитом.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 w:line="312"/>
      </w:pPr>
      <w:bookmarkStart w:id="100018" w:name="_Toc100018"/>
      <w:r>
        <w:rPr>
          <w:rFonts w:ascii="Times New Roman" w:hAnsi="Times New Roman"/>
          <w:b/>
          <w:bCs/>
          <w:color w:val="0F172A"/>
          <w:sz w:val="28"/>
          <w:szCs w:val="28"/>
        </w:rPr>
        <w:t xml:space="preserve">11.1. Сценарии демонстрационного стенда</w:t>
      </w:r>
      <w:bookmarkEnd w:id="100018"/>
    </w:p>
    <w:p>
      <w:pPr>
        <w:keepNext/>
        <w:spacing w:after="80" w:before="160" w:line="312"/>
      </w:pPr>
      <w:r>
        <w:rPr>
          <w:rFonts w:ascii="Times New Roman" w:hAnsi="Times New Roman"/>
          <w:b/>
          <w:bCs/>
          <w:color w:val="506070"/>
          <w:sz w:val="21"/>
          <w:szCs w:val="21"/>
        </w:rPr>
        <w:t xml:space="preserve">Таблица 4 — Сценарии стенда</w:t>
      </w:r>
    </w:p>
    <w:tbl>
      <w:tblPr>
        <w:tblW w:type="pct" w:w="100%"/>
        <w:tblBorders>
          <w:top w:val="single" w:color="9AA6B2" w:sz="4"/>
          <w:left w:val="none" w:color="FFFFFF" w:sz="0"/>
          <w:bottom w:val="single" w:color="9AA6B2" w:sz="4"/>
          <w:right w:val="none" w:color="FFFFFF" w:sz="0"/>
          <w:insideH w:val="single" w:color="D8DEE6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Сценарий</w:t>
            </w:r>
          </w:p>
        </w:tc>
        <w:tc>
          <w:tcPr>
            <w:tcW w:type="pct" w:w="46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Действие</w:t>
            </w:r>
          </w:p>
        </w:tc>
        <w:tc>
          <w:tcPr>
            <w:tcW w:type="pct" w:w="28%"/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F172A"/>
                <w:sz w:val="20"/>
                <w:szCs w:val="20"/>
              </w:rPr>
              <w:t xml:space="preserve">Параметр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Норма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сброс всех возмущений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Утяжеление руды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грубее помол → ниже извлечение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+ % крепости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Дрейф XRF питания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систематическая ошибка анализатора α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 вкл / 0 выкл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Залипание P80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датчик крупности перестаёт обновляться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 вкл / 0 выкл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Обрыв связи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стенд перестаёт отвечать по Modbus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1 вкл / 0 выкл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Закисление пульпы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провал pH с самовосстановлением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длительность, 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Отказ насоса сгустителя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рост постели и момента гребков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длительность, 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Пополнение бункера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повышение уровня бункера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+ % уровня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Смена типа руды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изменение базы флотационной модели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0 сульфидная / 1 смешанная / 2 окисленная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Пиковая нагрузка мельницы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нагрев подшипника → проверка масляного интерлока tic201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32"/>
                <w:sz w:val="20"/>
                <w:szCs w:val="20"/>
              </w:rPr>
              <w:t xml:space="preserve">длительность, с</w:t>
            </w:r>
          </w:p>
        </w:tc>
      </w:tr>
    </w:tbl>
    <w:p>
      <w:pPr>
        <w:pStyle w:val="Heading1"/>
        <w:spacing w:after="160" w:before="400" w:line="312"/>
      </w:pPr>
      <w:bookmarkStart w:id="100019" w:name="_Toc100019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12. Отчёты и выгрузки</w:t>
      </w:r>
      <w:bookmarkEnd w:id="100019"/>
    </w:p>
    <w:p>
      <w:pPr>
        <w:spacing w:after="100" w:line="312"/>
        <w:ind w:firstLine="709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Система формирует CSV-выгрузки: показания телеметрии за период (метод /reports/readings/csv) и журнал тревог (/reports/alerts/csv) с фильтрами по времени, тегу и приоритету. Выгрузка открывается ссылкой из интерфейса администрирования или запросом к API в сеансе пользователя. Файлы содержат заголовки колонок и пригодны для анализа в табличных редакторах.</w:t>
      </w:r>
    </w:p>
    <w:p>
      <w:pPr>
        <w:pStyle w:val="Heading1"/>
        <w:spacing w:after="160" w:before="400" w:line="312"/>
      </w:pPr>
      <w:bookmarkStart w:id="100020" w:name="_Toc100020"/>
      <w:r>
        <w:rPr>
          <w:rFonts w:ascii="Times New Roman" w:hAnsi="Times New Roman"/>
          <w:b/>
          <w:bCs/>
          <w:color w:val="0F172A"/>
          <w:sz w:val="32"/>
          <w:szCs w:val="32"/>
        </w:rPr>
        <w:t xml:space="preserve">13. Практические замечания</w:t>
      </w:r>
      <w:bookmarkEnd w:id="10002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Цикл XRF: содержание меди в потоках обновляется дискретно с периодом 60 с (sample&amp;hold анализатора) — на трендах это ступеньки, в карточках — запаздывание до минуты.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Качество данных важнее значения: управление по параметру с качеством, отличным от good, запрещено логикой (watchdog контуров), а ручные решения по таким данным не рекомендуются.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Глубина истории: historian хранит не менее 30 суток при частоте 1 Гц; старые данные доступны через диапазоны трендов и CSV-выгрузку.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Аудит: любая запись уставки, смена режима, квитирование и сценарий фиксируются с именем пользователя сеанса — при разборе инцидентов журнал в «Доступ и аудит».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hAnsi="Times New Roman"/>
          <w:color w:val="1A2332"/>
          <w:sz w:val="24"/>
          <w:szCs w:val="24"/>
        </w:rPr>
        <w:t xml:space="preserve">Демонстрационные пароли (operator/operator, admin/admin) подлежат смене перед эксплуатацией.</w:t>
      </w:r>
    </w:p>
    <w:sectPr>
      <w:headerReference w:type="default" r:id="rId8"/>
      <w:footerReference w:type="default" r:id="rId9"/>
      <w:type w:val="nextPage"/>
      <w:pgSz w:w="11906" w:h="16838" w:orient="portrait"/>
      <w:pgMar w:top="1134" w:right="850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2" w:space="4"/>
      </w:pBdr>
      <w:jc w:val="right"/>
    </w:pPr>
    <w:r>
      <w:rPr>
        <w:rFonts w:ascii="Times New Roman" w:hAnsi="Times New Roman"/>
        <w:color w:val="999999"/>
        <w:sz w:val="16"/>
        <w:szCs w:val="16"/>
      </w:rPr>
      <w:t xml:space="preserve">CAP · Руководство оператора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1A2332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Times New Roman" w:hAnsi="Times New Roman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0F172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581543132788b568dd830a9a09b3bc50b56b206f.png"/><Relationship Id="rId11" Type="http://schemas.openxmlformats.org/officeDocument/2006/relationships/image" Target="media/0e2dd0bc40631219e2ccd8eeb975a98c5ccf0693.png"/><Relationship Id="rId12" Type="http://schemas.openxmlformats.org/officeDocument/2006/relationships/image" Target="media/1c090630f07375b22e713e646981177df0968482.png"/><Relationship Id="rId13" Type="http://schemas.openxmlformats.org/officeDocument/2006/relationships/image" Target="media/7e5d336d44e9c1e51fbe0836a3cb37228f93bd66.png"/><Relationship Id="rId14" Type="http://schemas.openxmlformats.org/officeDocument/2006/relationships/image" Target="media/c59f2adb871cb7c6fe72292c5266f503c9cec8ff.png"/><Relationship Id="rId15" Type="http://schemas.openxmlformats.org/officeDocument/2006/relationships/image" Target="media/0eb0046a4698c56b425157a4a03fd879c2c516ab.png"/><Relationship Id="rId16" Type="http://schemas.openxmlformats.org/officeDocument/2006/relationships/image" Target="media/bd05317613811afc84f32e610666c6b0a2fe3ddb.png"/><Relationship Id="rId17" Type="http://schemas.openxmlformats.org/officeDocument/2006/relationships/image" Target="media/196436e49e0f7841e232fc9d3179534b392846ae.png"/><Relationship Id="rId18" Type="http://schemas.openxmlformats.org/officeDocument/2006/relationships/image" Target="media/fc3693d91263b3a2a803fb36501e553a10b4d7d4.png"/><Relationship Id="rId19" Type="http://schemas.openxmlformats.org/officeDocument/2006/relationships/image" Target="media/0ae29b72609ca29014d65ac75d477275c2cc4d1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2026-09-16T21:05:23.581Z</dcterms:created>
  <dcterms:modified xsi:type="dcterms:W3CDTF">2026-09-16T21:05:23.582Z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