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</w:tcPr>
          <w:p>
            <w:pPr>
              <w:spacing w:before="4092"/>
            </w:pPr>
          </w:p>
          <w:p>
            <w:pPr>
              <w:pBdr>
                <w:bottom w:val="single" w:color="38BDF8" w:sz="6" w:space="8"/>
              </w:pBdr>
              <w:spacing w:after="500"/>
              <w:ind w:left="1200" w:right="800"/>
            </w:pPr>
            <w:r>
              <w:rPr>
                <w:rFonts w:ascii="Times New Roman" w:hAnsi="Times New Roman"/>
                <w:color w:val="38BDF8"/>
                <w:spacing w:val="40"/>
                <w:sz w:val="18"/>
                <w:szCs w:val="18"/>
              </w:rPr>
              <w:t xml:space="preserve">T  E  C  H  N  I  C  A  L     P  A  S  S  P  O  R  T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CAP — Технический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паспорт</w:t>
            </w:r>
          </w:p>
          <w:p>
            <w:pPr>
              <w:spacing w:after="800" w:line="312"/>
              <w:ind w:left="1200" w:right="800"/>
            </w:pPr>
            <w:r>
              <w:rPr>
                <w:rFonts w:ascii="Times New Roman" w:hAnsi="Times New Roman"/>
                <w:color w:val="B8C4D4"/>
                <w:sz w:val="24"/>
                <w:szCs w:val="24"/>
              </w:rPr>
              <w:t xml:space="preserve">Система оперативного диспетчерского контроля и управления участком флотационного обогащения руды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Класс системы: SCADA — HMI, историк, супервизорное управление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Состав: capd (сервер-монолит) · edge (шлюз сбора) · plantsim (стенд)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Версия документа: 2.0 (пересмотр по состоянию кода)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Дата выпуска: сентябрь 2026 г.</w:t>
            </w:r>
          </w:p>
          <w:p>
            <w:pPr>
              <w:spacing w:before="4092"/>
            </w:pPr>
          </w:p>
          <w:p>
            <w:pPr>
              <w:pBdr>
                <w:top w:val="single" w:color="38BDF8" w:sz="2" w:space="8"/>
              </w:pBdr>
              <w:spacing w:before="200"/>
              <w:ind w:left="1200" w:right="800"/>
            </w:pPr>
            <w:r>
              <w:rPr>
                <w:rFonts w:ascii="Times New Roman" w:hAnsi="Times New Roman"/>
                <w:color w:val="7C8DA6"/>
                <w:sz w:val="16"/>
                <w:szCs w:val="16"/>
              </w:rPr>
              <w:t xml:space="preserve">CAP — Complex Automation Pro</w:t>
            </w:r>
            <w:r>
              <w:t xml:space="preserve">                                        </w:t>
            </w:r>
            <w:r>
              <w:rPr>
                <w:rFonts w:ascii="Times New Roman" w:hAnsi="Times New Roman"/>
                <w:color w:val="7C8DA6"/>
                <w:sz w:val="16"/>
                <w:szCs w:val="16"/>
              </w:rPr>
              <w:t xml:space="preserve">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Технический паспорт</w:t>
      </w:r>
    </w:p>
    <w:sdt>
      <w:sdtPr>
        <w:alias w:val="Оглавление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Общие сведения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Архитектура и состав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3. Технологический объект и номинальный режим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4. Каталог КПА и реестр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5. Сбор телеметрии и историк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6. Металлургический расчёт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7. Супервизорное управление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7.1. Адаптивная настройка Kp/Ki (gain scheduling)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7.2. Автоматическая pH-регуляция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7.3. Температурный контроль оборудования и маслоснабжение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8. Тревоги (ISA-18.2)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9. Безопасность и доступ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10. Веб-интерфейс (HMI)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11. Программные интерфейсы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12. Среда эксплуатации и характеристики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13. Комплектность поставки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14. Методика испытаний и критерии приёмки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15. Используемые стандарты и литература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кодах полей.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134" w:right="850" w:bottom="1134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400" w:line="312"/>
      </w:pPr>
      <w:bookmarkStart w:id="100000" w:name="_Toc100000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1. Общие сведения</w:t>
      </w:r>
      <w:bookmarkEnd w:id="100000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Настоящий технический паспорт описывает систему CAP (Complex Automation Pro) — систему оперативного диспетчерского контроля и управления участком флотационного обогащения медно-порфировой руды производительностью около 100 т/ч по сухой руде. Система относится к классу SCADA и объединяет сбор телеметрии по протоколу Modbus TCP, металлургические расчёты, супервизорное ПИД-управление, управление тревогами по ISA-18.2 и веб-интерфейс оператора в духе ISA-101.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7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CAP — система диспетчерского контроля и управления участком флотационного обогащения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Назначение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Мониторинг технологического процесса, металлургический баланс, супервизорное управление, тревоги, отчётность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Класс системы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SCADA-класс: HMI + историк + супервизорный контур управления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Язык интерфейса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Русский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Серверная часть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Go 1.25, единый бинарник capd (модульный монолит)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Клиентская часть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React 18 + TypeScript + Vite + Tailwind CSS (встраивается в сервер)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База данных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SQLite (WAL) по умолчанию; поддерживается PostgreSQL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Протокол сбора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Modbus TCP (FC3/FC4/FC6)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Стандарты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ISA-5.1, ISA-18.2, ISA-101, Modbus Application Protocol V1.1b3, IEC 61511 (принципы)</w:t>
            </w:r>
          </w:p>
        </w:tc>
      </w:tr>
    </w:tbl>
    <w:p>
      <w:pPr>
        <w:pStyle w:val="Heading1"/>
        <w:spacing w:after="160" w:before="400" w:line="312"/>
      </w:pPr>
      <w:bookmarkStart w:id="100001" w:name="_Toc100001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2. Архитектура и состав</w:t>
      </w:r>
      <w:bookmarkEnd w:id="100001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Система состоит из трёх процессов. Ядро — модульный монолит capd: один бинарник, одна база данных, один сетевой порт. Шлюз сбора edge опрашивает источник по Modbus TCP и доставляет телеметрию на сервер; демонстрационный стенд plantsim эмулирует технологический процесс за настоящим Modbus TCP сервером и в промышленной эксплуатации заменяется контроллерами завода.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Процесс</w:t>
            </w:r>
          </w:p>
        </w:tc>
        <w:tc>
          <w:tcPr>
            <w:tcW w:type="pct" w:w="6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Роль</w:t>
            </w:r>
          </w:p>
        </w:tc>
        <w:tc>
          <w:tcPr>
            <w:tcW w:type="pct" w:w="2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Сетевые точки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capd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REST API, WebSocket, аутентификация и RBAC, приём телеметрии (идемпотентный), историк, тревоги ISA-18.2, супервизорные ПИД-контуры, металлургический расчёт, реестр КПА, встроенный веб-интерфейс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HTTP :8000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edge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Шлюз сбора: опрос Modbus (1 с), нормализация к единому контракту, буферизация store-and-forward (SQLite) с доставкой без дублей и потерь, пульс состояния, FC6-мост записи актуаторов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исходящие TCP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plantsim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Демонстрационный стенд: математическая модель обогащения + Modbus TCP сервер (FC3/FC4/FC6) + HTTP-интерфейс сценариев. В эксплуатации отсутствует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Modbus :1502, HTTP :15080</w:t>
            </w:r>
          </w:p>
        </w:tc>
      </w:tr>
    </w:tbl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Единственный путь телеметрии от объекта к серверу: датчики (ПЛК/стенд) → Modbus TCP → edge → приёмочный контракт capd (идемпотентно, с подтверждением после долговременной записи) → историк и WebSocket. Расчётные (виртуальные) теги металлургии записываются через тот же контракт, что гарантирует единую точку валидации данных.</w:t>
      </w:r>
    </w:p>
    <w:p>
      <w:pPr>
        <w:spacing w:after="100" w:before="60" w:line="312"/>
        <w:ind w:firstLine="709"/>
        <w:jc w:val="both"/>
      </w:pPr>
      <w:r>
        <w:rPr>
          <w:rFonts w:ascii="Times New Roman" w:hAnsi="Times New Roman"/>
          <w:b/>
          <w:bCs/>
          <w:color w:val="0F172A"/>
          <w:sz w:val="24"/>
          <w:szCs w:val="24"/>
        </w:rPr>
        <w:t xml:space="preserve">Правила архитектуры. </w:t>
      </w:r>
      <w:r>
        <w:rPr>
          <w:rFonts w:ascii="Times New Roman" w:hAnsi="Times New Roman"/>
          <w:color w:val="1A2332"/>
          <w:sz w:val="24"/>
          <w:szCs w:val="24"/>
        </w:rPr>
        <w:t xml:space="preserve">SQL-код сосредоточен только в модуле хранилища; телеметрия попадает в базу исключительно через приёмочный контракт с валидацией схемы; модули обмениваются событиями через внутреннюю шину; транспортный слой не содержит формул и бизнес-правил; конфигурация — только через переменные окружения с безопасными значениями по умолчанию.</w:t>
      </w:r>
    </w:p>
    <w:p>
      <w:pPr>
        <w:pStyle w:val="Heading1"/>
        <w:spacing w:after="160" w:before="400" w:line="312"/>
      </w:pPr>
      <w:bookmarkStart w:id="100002" w:name="_Toc100002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3. Технологический объект и номинальный режим</w:t>
      </w:r>
      <w:bookmarkEnd w:id="100002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Контролируемый участок: подача и дробление руды → шаровая мельница с классификацией в гидроциклоне → флотация (rougher/scavenger) с подачей собирателя и вспенивателя → сгущение концентрата → вакуум-фильтрация и отгрузка. Ветвь хвостов направляется в хвостохранилище.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1 — Номинальные параметры стационарного режима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55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45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Производительность по руде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100 т/ч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питании (α)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0,80 %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концентрате (β)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22 %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Содержание Cu в хвостах (θ)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0,08 %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Извлечение ε (расчёт)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90,3 %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Выход концентрата γ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3,3 % (3,29 т/ч)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Крупность слива гидроциклона P80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150 мкм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Крупность питания мельницы F80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6 500 мкм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Циркулирующая нагрузка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250 %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Индекс работы Бонда Wi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14,5 кВт·ч/т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Мощность мельницы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≈ 1 250 кВт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 пульпы флотации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Доля твёрдого в питании флотации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30 %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Доля твёрдого в сгущённом продукте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45 %</w:t>
            </w:r>
          </w:p>
        </w:tc>
      </w:tr>
      <w:tr>
        <w:trPr>
          <w:cantSplit/>
        </w:trPr>
        <w:tc>
          <w:tcPr>
            <w:tcW w:type="pct" w:w="5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Влажность кека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10,5 %</w:t>
            </w:r>
          </w:p>
        </w:tc>
      </w:tr>
    </w:tbl>
    <w:p>
      <w:pPr>
        <w:pStyle w:val="Heading1"/>
        <w:spacing w:after="160" w:before="400" w:line="312"/>
      </w:pPr>
      <w:bookmarkStart w:id="100003" w:name="_Toc100003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4. Каталог КПА и реестр</w:t>
      </w:r>
      <w:bookmarkEnd w:id="100003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Реестр системы содержит 7 технологических активов и 49 тегов: 33 входных измерения, 8 выходных позиций (актуаторов) и 8 расчётных (виртуальных) показателей. Идентификация тегов выполняется по ISA-5.1: FI — расход, EI — мощность, LI — уровень, AI — анализ, QI — дозирование, DI — плотность, XI — гранулометрия, PI — давление, MI — влажность, WI — массовый расход, SI — запас, TIT — температура; AFI/AFC/AFT — содержание металла по потокам (XRF); HC/FC/LC — позиции управления.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2 — Активы реестра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Актив</w:t>
            </w:r>
          </w:p>
        </w:tc>
        <w:tc>
          <w:tcPr>
            <w:tcW w:type="pct" w:w="4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pct" w:w="2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Зона</w:t>
            </w:r>
          </w:p>
        </w:tc>
        <w:tc>
          <w:tcPr>
            <w:tcW w:type="pct" w:w="1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Критичность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plant.crushing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Дробление (бункер, питатель, дробилка)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Подготовка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high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plant.grinding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Измельчение (мельница, гидроциклон)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Подготовка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critical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plant.flotation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Флотация (rougher/scavenger, реагенты)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Обогащение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critical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plant.thickening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Сгущение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Обезвоживание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high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plant.filtration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Фильтрация и отгрузка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Обезвоживание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plant.lubrication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Маслоснабжение (станция смазки)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Вспомогательные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high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plant.metallurgy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Расчётные (виртуальные) показатели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Виртуальный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Для каждого тега заданы единица измерения, инженерная шкала (минимум/максимум), период опроса 1 с и критичность. Каждое основное оборудование оснащено датчиком температуры (ti101 — подшипник дробилки, ti201 — подшипник мельницы, ti301 — пульпа флотации, ti401 — привод гребкового устройства, ti501 — вакуум-насос); позиция клапана маслостанции ho101 — выходной тег. Виртуальные теги рассчитываются модулем металлургии каждые 5 с: calc_epsilon, calc_gamma, calc_upgrade, calc_pull, calc_balance_err, calc_q_collector, calc_bond_kwt, calc_cl_pct.</w:t>
      </w:r>
    </w:p>
    <w:p>
      <w:pPr>
        <w:pStyle w:val="Heading1"/>
        <w:spacing w:after="160" w:before="400" w:line="312"/>
      </w:pPr>
      <w:bookmarkStart w:id="100004" w:name="_Toc100004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5. Сбор телеметрии и историк</w:t>
      </w:r>
      <w:bookmarkEnd w:id="100004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Опрос Modbus TCP: функция 4 (input registers, 33 датчика) и функция 3 (holding registers, 8 актуаторов — обратная связь позиции), период 1 с, unit-id 1, big-endian, масштабные коэффициенты на тег.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Нормализация: приведение к единому контракту с качеством good/uncertain/bad/stale/offline; квантование по масштабу регистра.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Буферизация: при недоступности сервера шлюз накапливает батчи в локальной SQLite (store-and-forward) и доставляет их после восстановления в исходном порядке без дублей (идемпотентность по message_id, подтверждение — только после долговременной записи).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Пульс состояния шлюза: периодический heartbeat; потеря связи с активом более 10 с порождает тревогу comm_loss.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Историк: SQLite WAL (синхронизация NORMAL), глубина не менее 30 суток при 35 тегах × 1 Гц; запросы сырых точек, агрегатов и выгрузка CSV (показания, тревоги).</w:t>
      </w:r>
    </w:p>
    <w:p>
      <w:pPr>
        <w:pStyle w:val="Heading1"/>
        <w:spacing w:after="160" w:before="400" w:line="312"/>
      </w:pPr>
      <w:bookmarkStart w:id="100005" w:name="_Toc100005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6. Металлургический расчёт</w:t>
      </w:r>
      <w:bookmarkEnd w:id="100005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Расчёт выполняется на сервере каждые 5 с по последним достоверным значениям телеметрии. Результаты доступны через API, в виде виртуальных тегов (историк и тренды) и на панели «Металлургия». Каждый показатель сопровождается строкой формулы и списком тегов-источников — расчёт полностью аудируем.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3 — Балансовые показатели (двухпродуктовая схема)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Показатель</w:t>
            </w:r>
          </w:p>
        </w:tc>
        <w:tc>
          <w:tcPr>
            <w:tcW w:type="pct" w:w="45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Формула</w:t>
            </w:r>
          </w:p>
        </w:tc>
        <w:tc>
          <w:tcPr>
            <w:tcW w:type="pct" w:w="25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Целевой коридор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Извлечение Cu, ε, %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ε = β(α−θ)/(α(β−θ))×100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≥ 88 (из профиля руды)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Выход концентрата, γ, %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γ = (α−θ)/(β−θ)×100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Коэффициент обогащения, K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K = β/α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Съём концентрата (mass pull), %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 = wi301/fi101×100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Невязка массового баланса, %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err = (fi101 − wi301 − wi302)/fi101×100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±1 %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Сходимость извлечений, % отн.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δ — сравнение двухпродуктового ε с массовым балансом металла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5 %</w:t>
            </w:r>
          </w:p>
        </w:tc>
      </w:tr>
    </w:tbl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4 — Показатели измельчения и вспомогательные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Показатель</w:t>
            </w:r>
          </w:p>
        </w:tc>
        <w:tc>
          <w:tcPr>
            <w:tcW w:type="pct" w:w="5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Формула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Удельная энергия измельчения по Бонду, кВт·ч/т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W = 10×Wi×(1/√P80 − 1/√F80), Wi = 14,5; F80 = 6500 мкм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Расчётная мощность измельчения, кВт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W × fi101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Энергетический КПД мельницы, %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η = W×fi101/EI201×100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Циркулирующая нагрузка, %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CL — баланс песков гидроциклона по плотности слива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Удельный расход собирателя, мл/т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q = qi301×60/fi101 (номинал 108)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Нагрузка сгустителя, т/м²·ч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q_s = Wc/A, A = 28,3 м² (норма ≤ 0,4)</w:t>
            </w:r>
          </w:p>
        </w:tc>
      </w:tr>
    </w:tbl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Превышение допуска невязки или расхождение извлечений переводит панель в состояние «данные несогласованы: проверь XRF/весы» — это встроенный детектор достоверности аналитики (выявляет, например, систематический дрейф XRF-анализатора питания). Целевые коридоры KPI берутся из активного профиля руды.</w:t>
      </w:r>
    </w:p>
    <w:p>
      <w:pPr>
        <w:pStyle w:val="Heading1"/>
        <w:spacing w:after="160" w:before="400" w:line="312"/>
      </w:pPr>
      <w:bookmarkStart w:id="100006" w:name="_Toc100006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7. Супервизорное управление</w:t>
      </w:r>
      <w:bookmarkEnd w:id="100006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Контуры выполняются на сервере (супервизорный уровень) с периодом 1 с. ПИД — позиционная форма с ограничением интеграла, зоной нечувствительности и ограничением скорости выхода. Выход в процентах диапазона отображается в инженерные единицы актуатора; запись в станцию выполняет шлюз методом FC6 только в режиме АВТО. Перевод в АВТО выполняется безударно: интеграл инициализируется от фактической позиции актуатора по его телеметрии (при отсутствии — от сохранённого выхода).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5 — Контуры управления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Контур</w:t>
            </w:r>
          </w:p>
        </w:tc>
        <w:tc>
          <w:tcPr>
            <w:tcW w:type="pct" w:w="2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Задача</w:t>
            </w:r>
          </w:p>
        </w:tc>
        <w:tc>
          <w:tcPr>
            <w:tcW w:type="pct" w:w="1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PV</w:t>
            </w:r>
          </w:p>
        </w:tc>
        <w:tc>
          <w:tcPr>
            <w:tcW w:type="pct" w:w="1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MV</w:t>
            </w:r>
          </w:p>
        </w:tc>
        <w:tc>
          <w:tcPr>
            <w:tcW w:type="pct" w:w="2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SP (диапазон)</w:t>
            </w:r>
          </w:p>
        </w:tc>
        <w:tc>
          <w:tcPr>
            <w:tcW w:type="pct" w:w="1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Kp / Ki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lic301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Уровень пульпы флотомашины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li301, мм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lc301, %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500 (450–650)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−0,06 / −0,02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fic301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Удельный расход собирателя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qi301, мл/мин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fc301, мл/мин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108 (30–300)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−1,2 / −0,4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dic401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Плотность сгущённого продукта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di401, % тв.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fc401, %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45 (40–55)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−2,5 / −0,8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phc301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 пульпы флотации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ph301, pH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acid_doser, %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9,0 (7,5–10,5)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−0,5 / −0,15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tic201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Температура подшипника мельницы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ti201, °C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ho101 (клапан масла), %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55 (40–70)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−3,0 / −1,0</w:t>
            </w:r>
          </w:p>
        </w:tc>
      </w:tr>
    </w:tbl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Отрицательные коэффициенты соответствуют прямой динамике объекта при стандартной форме ошибки e = SP − PV (рост измеренного значения требует роста воздействия). Значения настраек — стартовые, подтверждаемые стендовыми испытаниями. Контуры phc301 и tic201 выделены отдельными типами (ph и temp) и исполняют собственную логику (см. п. 7.2–7.3). В демонстрационном стенде отдельный канал pH-дозатора не эмулируется, поэтому PV контура phc301 остаётся без данных — контур отображается в интерфейсе и доступен для настройки.</w:t>
      </w:r>
    </w:p>
    <w:p>
      <w:pPr>
        <w:spacing w:after="100" w:before="60" w:line="312"/>
        <w:ind w:firstLine="709"/>
        <w:jc w:val="both"/>
      </w:pPr>
      <w:r>
        <w:rPr>
          <w:rFonts w:ascii="Times New Roman" w:hAnsi="Times New Roman"/>
          <w:b/>
          <w:bCs/>
          <w:color w:val="0F172A"/>
          <w:sz w:val="24"/>
          <w:szCs w:val="24"/>
        </w:rPr>
        <w:t xml:space="preserve">Watchdog. </w:t>
      </w:r>
      <w:r>
        <w:rPr>
          <w:rFonts w:ascii="Times New Roman" w:hAnsi="Times New Roman"/>
          <w:color w:val="1A2332"/>
          <w:sz w:val="24"/>
          <w:szCs w:val="24"/>
        </w:rPr>
        <w:t xml:space="preserve">Если достоверное значение PV старше 10 с или его качество отличается от good, контур автоматически переводится в ручной режим, выход замораживается в последнем безопасном положении (не обнуляется) и поднимается operational-тревога control_fault. При восстановлении данных контур возвращается в состояние норма; режим АВТО включается оператором вручную.</w:t>
      </w:r>
    </w:p>
    <w:p>
      <w:pPr>
        <w:spacing w:after="100" w:before="60" w:line="312"/>
        <w:ind w:firstLine="709"/>
        <w:jc w:val="both"/>
      </w:pPr>
      <w:r>
        <w:rPr>
          <w:rFonts w:ascii="Times New Roman" w:hAnsi="Times New Roman"/>
          <w:b/>
          <w:bCs/>
          <w:color w:val="0F172A"/>
          <w:sz w:val="24"/>
          <w:szCs w:val="24"/>
        </w:rPr>
        <w:t xml:space="preserve">Ручные команды. </w:t>
      </w:r>
      <w:r>
        <w:rPr>
          <w:rFonts w:ascii="Times New Roman" w:hAnsi="Times New Roman"/>
          <w:color w:val="1A2332"/>
          <w:sz w:val="24"/>
          <w:szCs w:val="24"/>
        </w:rPr>
        <w:t xml:space="preserve">Актуаторы, не входящие в контуры (hc101, fc201, fc302, hi501), управляются разовыми командами записи с подтверждением; каждая команда получает номер последовательности, мост записывает её в станцию однократно.</w:t>
      </w:r>
    </w:p>
    <w:p>
      <w:pPr>
        <w:pStyle w:val="Heading2"/>
        <w:spacing w:after="120" w:before="280" w:line="312"/>
      </w:pPr>
      <w:bookmarkStart w:id="100007" w:name="_Toc100007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7.1. Адаптивная настройка Kp/Ki (gain scheduling)</w:t>
      </w:r>
      <w:bookmarkEnd w:id="100007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Для каждого контура может быть включена адаптивная настройка: пропорциональный и интегральный коэффициенты пересчитываются в реальном времени по измеримому индикатору усиления процесса (например, производительности питателя). Пересчёт выполняется на каждом такте без переинициализации контура.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factor = 0.5 + (indicator − gain_low) / (gain_high − gain_low)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Множитель линейно отображает диапазон индикатора [gain_low, gain_high] в интервал [0,5; 1,5]; вне диапазона действует жёсткое ограничение [0,25; 4,0]. Итоговые Kp/Ki ограничиваются коридором [0,25×; 4×] базовых значений. Активный множитель отображается на панели контура бейджем ADAPT ×N. Интегральное ограничение (anti-windup) не даёт интегралу накапливаться при насыщении выхода.</w:t>
      </w:r>
    </w:p>
    <w:p>
      <w:pPr>
        <w:pStyle w:val="Heading2"/>
        <w:spacing w:after="120" w:before="280" w:line="312"/>
      </w:pPr>
      <w:bookmarkStart w:id="100008" w:name="_Toc100008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7.2. Автоматическая pH-регуляция</w:t>
      </w:r>
      <w:bookmarkEnd w:id="100008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Контур phc301 поддерживает pH пульпы автоматической подачей кислого/щелочного реагента и включает три механизма: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Двойная защитная зона (dead-band): отклонение от уставки более ±0,2 pH поднимает тревогу предупреждения; более ±0,5 pH — критическую тревогу с принудительным переводом контура в ручной режим и замораживанием выхода.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Самонастройка Kp/Ki по температуре и расходу пульпы: Kp масштабируется с отклонением температуры от 25 °C (коэффициент 0,02 на °C), Ki — с отклонением расхода от 100 единиц (0,01 на 100); итог ограничивается коридором [0,1×; 5×] базовых значений.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Безударный переход manual→auto: интеграл инициализируется от текущей позиции дозатора.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При возврате отклонения в зону нормы тревоги контура автоматически снимаются. Пороги зон настраиваются в панели контура (по умолчанию 0,2 и 0,5 pH).</w:t>
      </w:r>
    </w:p>
    <w:p>
      <w:pPr>
        <w:pStyle w:val="Heading2"/>
        <w:spacing w:after="120" w:before="280" w:line="312"/>
      </w:pPr>
      <w:bookmarkStart w:id="100009" w:name="_Toc100009"/>
      <w:r>
        <w:rPr>
          <w:rFonts w:ascii="Times New Roman" w:hAnsi="Times New Roman"/>
          <w:b/>
          <w:bCs/>
          <w:color w:val="0F172A"/>
          <w:sz w:val="28"/>
          <w:szCs w:val="28"/>
        </w:rPr>
        <w:t xml:space="preserve">7.3. Температурный контроль оборудования и маслоснабжение</w:t>
      </w:r>
      <w:bookmarkEnd w:id="100009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Пять датчиков температуры (ti101, ti201, ti301, ti401, ti501) контролируют тепловое состояние дробилки, мельницы, флотации, гребкового устройства и вакуум-насоса. Оборудование охлаждается общей маслостанцией: позиция её клапана ho101 — выход контура tic201 (ПИД по температуре подшипника мельницы, уставка 55 °C, диапазон 40–70 °C).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Над стандартным ПИД действует температурный интерлок (безопасность по IEC 61511): при достижении PV порога 75 °C контур принудительно переводится в АВТО, клапан масла открывается на 100 % (аварийный залив) независимо от режима оператора и поднимается критическая тревога temp_interlock. Залив удерживается, пока температура не остынет ниже 70 °C (гистерезис 5 °C), после чего контур возвращается оператору в ручной режим с удержанием клапана. Порог настраивается в контуре (temp_interlock).</w:t>
      </w:r>
    </w:p>
    <w:p>
      <w:pPr>
        <w:pStyle w:val="Heading1"/>
        <w:spacing w:after="160" w:before="400" w:line="312"/>
      </w:pPr>
      <w:bookmarkStart w:id="100010" w:name="_Toc100010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8. Тревоги (ISA-18.2)</w:t>
      </w:r>
      <w:bookmarkEnd w:id="100010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Оценка пределов выполняется на сервере на каждом тике телеметрии. Жизненный цикл тревоги — состояния active/cleared × acknowledged; все события (сработала, сброшена, квитирована, отложена) записываются в неизменяемый журнал. Задержка срабатывания: 3 с для критических, 10 с для остальных; гистерезис — 1 % шкалы против дребезга. Квитирование фиксирует оператора из сессии и комментарий. Тревога comm_loss (средний приоритет) поднимается при отсутствии достоверных данных по всем тегам актива более 10 с.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6 — Рационализированные уставки (посев)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Тег</w:t>
            </w:r>
          </w:p>
        </w:tc>
        <w:tc>
          <w:tcPr>
            <w:tcW w:type="pct" w:w="2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Lo/Lo–Lo</w:t>
            </w:r>
          </w:p>
        </w:tc>
        <w:tc>
          <w:tcPr>
            <w:tcW w:type="pct" w:w="2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Hi/Hi–Hi</w:t>
            </w:r>
          </w:p>
        </w:tc>
        <w:tc>
          <w:tcPr>
            <w:tcW w:type="pct" w:w="1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Приоритет</w:t>
            </w:r>
          </w:p>
        </w:tc>
        <w:tc>
          <w:tcPr>
            <w:tcW w:type="pct" w:w="3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fi101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70 / 40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130 / 160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Потеря производства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ei201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600 / 200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1800 / 2100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Защита привода мельницы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ti101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45 / 55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Перегрев подшипника дробилки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ti201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70 / 78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Перегрев подшипника мельницы — маслостанция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ti301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30 / 35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средний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Температура пульпы флотации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ti401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42 / 52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Перегрев гребкового устройства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ti501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46 / 58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Перегрев вакуум-насоса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pi201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60 / 30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220 / 260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Классификация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xi201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 / 120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190 / 220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Грубый слив → потеря извлечения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li301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380 / 300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700 / 760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Перелив флотомашины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ai301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9,6 / 9,0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10,8 / 11,5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Окно извлечения по pH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di301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24 / 20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36 / 40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Плотность питания флотации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afi301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0,60 / 0,45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Резкое изменение качества руды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afc301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18,0 / 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Качество концентрата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aft301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0,12 / 0,18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Потери металла в хвостах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wi301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2,2 / 1,5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Пропуск концентрата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li401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1,2 / 0,8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5,5 / 6,5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Переполнение постели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di401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36 / 32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52 / 58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Сгущённый продукт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ei401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70 / 85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критический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Защита механизма сгустителя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mi501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13,0 / 16,0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Влажность кека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pi501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35 / 25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70 / 78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Вакуум фильтра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si101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15 / 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95 / —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высокий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Пересорт/пустой бункер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tit101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12 / 8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35 / 40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средний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Температура пульпы</w:t>
            </w:r>
          </w:p>
        </w:tc>
      </w:tr>
    </w:tbl>
    <w:p>
      <w:pPr>
        <w:pStyle w:val="Heading1"/>
        <w:spacing w:after="160" w:before="400" w:line="312"/>
      </w:pPr>
      <w:bookmarkStart w:id="100011" w:name="_Toc100011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9. Безопасность и доступ</w:t>
      </w:r>
      <w:bookmarkEnd w:id="100011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Локальные учётные записи: хеш пароля PBKDF2-SHA256; стартовые пользователи admin/admin (администратор) и operator/operator (оператор) — демонстрационные, подлежат смене перед эксплуатацией.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Сессии: серверный токен 128 бит в HttpOnly-cookie (SameSite=Lax), срок жизни 12 ч; все API-методы, кроме входа и проверки живости, требуют валидную сессию; WebSocket аутентифицируется той же cookie.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Машины-клиенты: шлюзы подтверждают общий секрет GATEWAY_TOKEN в заголовке машинных методов приёма; сравнение выполняется в постоянном времени.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Аудит: все мутации (уставки, режимы, квитирование, сценарии, назначение ролей) фиксируются в журнале аудита с исполнителем из сессии, ресурсом и деталями.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7 — Роли и права (RBAC)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Роль</w:t>
            </w:r>
          </w:p>
        </w:tc>
        <w:tc>
          <w:tcPr>
            <w:tcW w:type="pct" w:w="6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Права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Оператор (operator)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просмотр закреплённой зоны, квитирование тревог, управление процессом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Главный металлург (metallurgist)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полный просмотр, управление профилями руды, разбор и рационализация тревог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OT-инженер (ot_engineer)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полный просмотр, управление реестром тегов и шлюзами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Директор (director)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полный просмотр, отчёты, согласование профилей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Служба эксплуатации (maintenance)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просмотр активов и сигналов состояния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Администратор (platform_admin)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управление пользователями, ролями и платформой; все права</w:t>
            </w:r>
          </w:p>
        </w:tc>
      </w:tr>
    </w:tbl>
    <w:p>
      <w:pPr>
        <w:pStyle w:val="Heading1"/>
        <w:spacing w:after="160" w:before="400" w:line="312"/>
      </w:pPr>
      <w:bookmarkStart w:id="100012" w:name="_Toc100012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10. Веб-интерфейс (HMI)</w:t>
      </w:r>
      <w:bookmarkEnd w:id="100012"/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Интерфейс выполнен по мотивам ISA-101: мнемосхема с drill-down до паспорта объекта, тренды с таблицей перьев, панель металлургии, контуры управления, журнал тревог, профили руды и администрирование. Данные обновляются по WebSocket (телеметрия и состояния контуров — ежесекундно; тревоги — потоком событий) и периодическим опросом (металлургия и тревоги — 5 с, реестр — 60 с). Поддерживаются светлая и тёмная темы; шрифты системные, внешние CDN не используются — интерфейс работает в изолированной сети.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Страницы HMI: мнемосхема (по умолчанию), тренды, металлургия, управление, тревоги, профили руды, администрирование (реестр КПА, запрос телеметрии, доступ и аудит, сценарии стенда)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60" w:before="400" w:line="312"/>
      </w:pPr>
      <w:bookmarkStart w:id="100013" w:name="_Toc100013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11. Программные интерфейсы</w:t>
      </w:r>
      <w:bookmarkEnd w:id="100013"/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8 — Основные методы REST API (база /api/v1)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Метод и путь</w:t>
            </w:r>
          </w:p>
        </w:tc>
        <w:tc>
          <w:tcPr>
            <w:tcW w:type="pct" w:w="5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POST /access/login, /access/logout; GET /access/whoami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вход, выход, сведения о сессии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POST /ingest/telemetry, /ingest/telemetry:batch; POST /ingest/gateway_events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приём телеметрии и событий шлюза (машинный токен)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 /telemetry, /telemetry/latest, /telemetry/aggregate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историк: точки, последние значения, агрегаты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 /reports/readings/csv, /reports/alerts/csv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выгрузка отчётов CSV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 /alarms/active, /alarms/journal; POST /alarms/{id}/ack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активные тревоги, журнал, квитирование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GET/PUT/DELETE /alarms/limits/{tag_id}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рационализация уставок тревог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 /control/loops; PUT /control/loops/{id}/setpoint|mode|output|adaptive|ph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контуры: состояние, уставка, режим, выход, адаптив, pH-конфигурация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PUT /actuators/{tag_id}; GET /control/output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разовая запись актуатора; лента выходов для FC6-моста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 /metallurgy/summary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металлургический баланс и KPI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GET/POST /profiles; POST /profiles/{id}/approve|activate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профили руды: создание, согласование, активация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GET/POST/PUT/DELETE /assets, /tags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реестр КПА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POST /scenario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сценарий стенда (прокси с аудитом)</w:t>
            </w:r>
          </w:p>
        </w:tc>
      </w:tr>
      <w:tr>
        <w:trPr>
          <w:cantSplit/>
        </w:trPr>
        <w:tc>
          <w:tcPr>
            <w:tcW w:type="pct" w:w="4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GET /ws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WebSocket: телеметрия, тревоги, состояния контуров</w:t>
            </w:r>
          </w:p>
        </w:tc>
      </w:tr>
    </w:tbl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События WebSocket: telemetry (значение, единица, качество), alarm_raised / alarm_cleared / alarm_acked, loop_state (режим, состояние, SP, PV, выход, флаги адаптива и pH-регуляции). Управляющих команд от клиента WebSocket не принимает — все изменения выполняются через REST с явным подтверждением.</w:t>
      </w:r>
    </w:p>
    <w:p>
      <w:pPr>
        <w:pStyle w:val="Heading1"/>
        <w:spacing w:after="160" w:before="400" w:line="312"/>
      </w:pPr>
      <w:bookmarkStart w:id="100014" w:name="_Toc100014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12. Среда эксплуатации и характеристики</w:t>
      </w:r>
      <w:bookmarkEnd w:id="100014"/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9 — Требования и характеристики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66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ОС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Linux (запуск через backend/run.sh: capd, edge, plantsim)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Исполнение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Статические бинарники Go, без внешних зависимостей времени выполнения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Порты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8000 — сервер (UI/API/WS); 1502 — Modbus TCP стенда; 15080 — HTTP стенда (только демонстрация)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Браузер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Актуальные Chrome/Firefox/Edge, same-origin, без расширений и CDN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Задержка датчик → WebSocket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2 с при опросе 1 с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Пропускная способность приёма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≥ 100 значений/с без деградации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Глубина историка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≥ 30 суток при 35 тегах × 1 Гц (SQLite WAL)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Поведение при обрыве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буферизация у шлюза, дозаказка без дублей; на трендах — разрывы при недостоверных данных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Холодный старт демо-стенда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30 с до готового интерфейса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Потребление ОЗУ</w:t>
            </w:r>
          </w:p>
        </w:tc>
        <w:tc>
          <w:tcPr>
            <w:tcW w:type="pct" w:w="66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≤ 200 МБ сервер, ≤ 50 МБ стенд</w:t>
            </w:r>
          </w:p>
        </w:tc>
      </w:tr>
    </w:tbl>
    <w:p>
      <w:pPr>
        <w:pStyle w:val="Heading1"/>
        <w:spacing w:after="160" w:before="400" w:line="312"/>
      </w:pPr>
      <w:bookmarkStart w:id="100015" w:name="_Toc100015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13. Комплектность поставки</w:t>
      </w:r>
      <w:bookmarkEnd w:id="100015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Исходный код: backend/ (сервер capd, шлюз edge, стенд plantsim), frontend/ (React-HMI), demo/ (скрипты демонстрации run-demo.sh, scenario.sh).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Техническое задание (TZ_OBOGACHENIE.md) — полный контракт системы, включая карту регистров и критерии приёмки.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Настоящий технический паспорт; руководство оператора; презентационные материалы (каталог docs/).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Скрипт быстрого запуска backend/run.sh (сборка и старт трёх процессов, свежая база) и health-скрипты.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Лицензия MIT.</w:t>
      </w:r>
    </w:p>
    <w:p>
      <w:pPr>
        <w:pStyle w:val="Heading1"/>
        <w:spacing w:after="160" w:before="400" w:line="312"/>
      </w:pPr>
      <w:bookmarkStart w:id="100016" w:name="_Toc100016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14. Методика испытаний и критерии приёмки</w:t>
      </w:r>
      <w:bookmarkEnd w:id="100016"/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Сборка и статический анализ: go build ./..., go vet ./..., go test ./... — без ошибок; фронтенд npm run build — без ошибок TypeScript.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Физика стенда: стационарный массовый баланс fi101 = wi301 + wi302 с точностью ±0,5 %; извлечение в номинале 88–92 %.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Modbus-сервер стенда: отвечает на FC3/FC4/FC6, отклоняет прочие коды функций исключением; тесты против реального Modbus-клиента.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Шлюз: опрос по карте регистров; буферизация при простое сервера 10 с и дозаказка без дублей после восстановления.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Металлургия: юнит-тесты формул на эталонных значениях номинала (ε = 90,3 %, γ = 3,29 %, Бонд W ≈ 10,0 кВт·ч/т); KPI содержат формулу и источники.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Контуры: lic301 удерживает уставку ±10 мм при возмущении притока ±15 %; dic401 — ±1,5 % тв.; watchdog переводит контур в ручной при потере PV; FC6-запись выполняется только в АВТО.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Адаптивный ПИД: включение gain scheduling пересчитывает Kp/Ki без разрыва контура; множитель соответствует формуле п. 7.1; анти-интегральное насыщение ограничено.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Температурный интерлок: при PV ≥ 75 °C контур tic201 принудительно открывает клапан масла на 100 % из любого режима, тревога temp_interlock поднимается; сброс — только после остывания ниже 70 °C.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pH-регуляция: зоны ±0,2/±0,5 порождают предупреждение и критическую тревогу; при критическом отклонении контур принудительно в ручной режим с заморозкой выхода; самонастройка по температуре/расходу изменяет Kp/Ki в заданных пределах.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Тревоги: журнал содержит события срабатывания/сброса/квитирования; квитирование фиксирует оператора из сессии; сценарий отказа насоса сгустителя даёт последовательность li401 hi → ei401 hi_hi.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Интерфейс: все страницы раздела 10, одна сессия WebSocket, обе темы, квитирование из баннера критической тревоги, разрывы трендов при недостоверных данных.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Сквозная демонстрация demo/run-demo.sh — семь сценариев от начала до конца без ручных правок.</w:t>
      </w:r>
    </w:p>
    <w:p>
      <w:pPr>
        <w:pStyle w:val="Heading1"/>
        <w:spacing w:after="160" w:before="400" w:line="312"/>
      </w:pPr>
      <w:bookmarkStart w:id="100017" w:name="_Toc100017"/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15. Используемые стандарты и литература</w:t>
      </w:r>
      <w:bookmarkEnd w:id="100017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ISA-5.1 — условные обозначения КИП (идентификация тегов).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ISA-18.2 — управление тревогами: состояния, рационализация, журнал, квитирование.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ISA-101 — проектирование человеко-машинного интерфейса: иерархия, faceplate, тренды.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Modbus Application Protocol Specification V1.1b3 — MBAP, FC3/FC4/FC6, коды исключений.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IEC 61508/61511 — принципы безопасности супервизорного контура (watchdog, удержание выхода при потере связи).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B.A. Wills, J.A. Finch. Wills' Mineral Processing Technology, 9th ed. — массовый баланс, измельчение, кинетика флотации.</w:t>
      </w:r>
    </w:p>
    <w:sectPr>
      <w:headerReference w:type="default" r:id="rId8"/>
      <w:footerReference w:type="default" r:id="rId9"/>
      <w:type w:val="nextPage"/>
      <w:pgSz w:w="11906" w:h="16838" w:orient="portrait"/>
      <w:pgMar w:top="1134" w:right="850" w:bottom="1134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6" w:sz="2" w:space="4"/>
      </w:pBdr>
      <w:jc w:val="right"/>
    </w:pPr>
    <w:r>
      <w:rPr>
        <w:rFonts w:ascii="Times New Roman" w:hAnsi="Times New Roman"/>
        <w:color w:val="999999"/>
        <w:sz w:val="16"/>
        <w:szCs w:val="16"/>
      </w:rPr>
      <w:t xml:space="preserve">CAP · Технический паспорт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/>
        <w:color w:val="1A2332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400" w:line="312"/>
      <w:outlineLvl w:val="0"/>
    </w:pPr>
    <w:rPr>
      <w:rFonts w:ascii="Times New Roman" w:hAnsi="Times New Roman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hAnsi="Times New Roman"/>
      <w:b/>
      <w:bCs/>
      <w:color w:val="0F172A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0e2dd0bc40631219e2ccd8eeb975a98c5ccf0693.png"/><Relationship Id="rId11" Type="http://schemas.openxmlformats.org/officeDocument/2006/relationships/image" Target="media/7e5d336d44e9c1e51fbe0836a3cb37228f93bd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2026-09-16T21:05:22.299Z</dcterms:created>
  <dcterms:modified xsi:type="dcterms:W3CDTF">2026-09-16T21:05:22.332Z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