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12</w:t>
      </w:r>
    </w:p>
    <w:p>
      <w:r>
        <w:rPr>
          <w:b/>
          <w:sz w:val="22"/>
        </w:rPr>
        <w:t xml:space="preserve">Author(s): </w:t>
      </w:r>
      <w:r>
        <w:t>Matti Vaarma; Hongxiu Li</w:t>
      </w:r>
    </w:p>
    <w:p>
      <w:r>
        <w:rPr>
          <w:b/>
          <w:sz w:val="22"/>
        </w:rPr>
        <w:t xml:space="preserve">Title of paper: </w:t>
      </w:r>
      <w:r>
        <w:t>Predicting student dropouts with machine learning: An empirical study in Finnish higher education</w:t>
      </w:r>
    </w:p>
    <w:p>
      <w:r>
        <w:rPr>
          <w:b/>
          <w:sz w:val="22"/>
        </w:rPr>
        <w:t xml:space="preserve">Journal: </w:t>
      </w:r>
      <w:r>
        <w:t>Technology in Society</w:t>
      </w:r>
    </w:p>
    <w:p>
      <w:r>
        <w:rPr>
          <w:b/>
          <w:sz w:val="22"/>
        </w:rPr>
        <w:t xml:space="preserve">Volume (issue): </w:t>
      </w:r>
      <w:r>
        <w:t>76</w:t>
      </w:r>
    </w:p>
    <w:p>
      <w:r>
        <w:rPr>
          <w:b/>
          <w:sz w:val="22"/>
        </w:rPr>
        <w:t xml:space="preserve">pag - pag (year): </w:t>
      </w:r>
      <w:r>
        <w:t>102474 (2024)</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integra datos de transcripciones, datos demográficos y registros Moodle para comparar su importancia en la predicción de abandono universitario.</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modelos de machine learning aplicados de forma mensual, análisis de importancia de características y comparación longitudinal de variables académicas, demográficas y LMS.</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modelos de machine learning aplicados de forma mensual, análisis de importancia de características y comparación longitudinal de variables académicas, demográficas y LMS.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modelos de machine learning aplicados de forma mensual, análisis de importancia de características y comparación longitudinal de variables académicas, demográficas y LMS.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rendimiento predictivo mensual e importancia de variables; se identifican créditos acumulados, cursos desaprobados y conteo de actividad Moodle como factores más relevantes.</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Fusión de datos académicos y LMS</w:t>
            </w:r>
          </w:p>
        </w:tc>
        <w:tc>
          <w:tcPr>
            <w:tcW w:type="dxa" w:w="1680"/>
            <w:vAlign w:val="center"/>
          </w:tcPr>
          <w:p>
            <w:pPr>
              <w:jc w:val="left"/>
            </w:pPr>
            <w:r>
              <w:rPr>
                <w:rFonts w:ascii="Arial" w:hAnsi="Arial"/>
                <w:sz w:val="16"/>
              </w:rPr>
            </w:r>
            <w:r>
              <w:rPr>
                <w:rFonts w:ascii="Arial" w:hAnsi="Arial"/>
                <w:b w:val="0"/>
                <w:sz w:val="16"/>
              </w:rPr>
              <w:t>Datos académicos integrados</w:t>
            </w:r>
          </w:p>
        </w:tc>
        <w:tc>
          <w:tcPr>
            <w:tcW w:type="dxa" w:w="1680"/>
            <w:vAlign w:val="center"/>
          </w:tcPr>
          <w:p>
            <w:pPr>
              <w:jc w:val="left"/>
            </w:pPr>
            <w:r>
              <w:rPr>
                <w:rFonts w:ascii="Arial" w:hAnsi="Arial"/>
                <w:sz w:val="16"/>
              </w:rPr>
            </w:r>
            <w:r>
              <w:rPr>
                <w:rFonts w:ascii="Arial" w:hAnsi="Arial"/>
                <w:b w:val="0"/>
                <w:sz w:val="16"/>
              </w:rPr>
              <w:t>Créditos acumulados, cursos desaprobados e historial académico</w:t>
            </w:r>
          </w:p>
        </w:tc>
        <w:tc>
          <w:tcPr>
            <w:tcW w:type="dxa" w:w="1680"/>
            <w:vAlign w:val="center"/>
          </w:tcPr>
          <w:p>
            <w:pPr>
              <w:jc w:val="left"/>
            </w:pPr>
            <w:r>
              <w:rPr>
                <w:rFonts w:ascii="Arial" w:hAnsi="Arial"/>
                <w:sz w:val="16"/>
              </w:rPr>
            </w:r>
            <w:r>
              <w:rPr>
                <w:rFonts w:ascii="Arial" w:hAnsi="Arial"/>
                <w:b w:val="0"/>
                <w:sz w:val="16"/>
              </w:rPr>
              <w:t>Ficha de registro académico y base LMS procesada</w:t>
            </w:r>
          </w:p>
        </w:tc>
        <w:tc>
          <w:tcPr>
            <w:tcW w:type="dxa" w:w="1680"/>
            <w:vAlign w:val="center"/>
          </w:tcPr>
          <w:p>
            <w:pPr>
              <w:jc w:val="left"/>
            </w:pPr>
            <w:r>
              <w:rPr>
                <w:rFonts w:ascii="Arial" w:hAnsi="Arial"/>
                <w:sz w:val="16"/>
              </w:rPr>
            </w:r>
            <w:r>
              <w:rPr>
                <w:rFonts w:ascii="Arial" w:hAnsi="Arial"/>
                <w:b w:val="0"/>
                <w:sz w:val="16"/>
              </w:rPr>
              <w:t>Razón / ordinal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Comportamiento en LMS</w:t>
            </w:r>
          </w:p>
        </w:tc>
        <w:tc>
          <w:tcPr>
            <w:tcW w:type="dxa" w:w="1680"/>
            <w:vAlign w:val="center"/>
          </w:tcPr>
          <w:p>
            <w:pPr>
              <w:jc w:val="left"/>
            </w:pPr>
            <w:r>
              <w:rPr>
                <w:rFonts w:ascii="Arial" w:hAnsi="Arial"/>
                <w:sz w:val="16"/>
              </w:rPr>
            </w:r>
            <w:r>
              <w:rPr>
                <w:rFonts w:ascii="Arial" w:hAnsi="Arial"/>
                <w:b w:val="0"/>
                <w:sz w:val="16"/>
              </w:rPr>
              <w:t>Actividad Moodle</w:t>
            </w:r>
          </w:p>
        </w:tc>
        <w:tc>
          <w:tcPr>
            <w:tcW w:type="dxa" w:w="1680"/>
            <w:vAlign w:val="center"/>
          </w:tcPr>
          <w:p>
            <w:pPr>
              <w:jc w:val="left"/>
            </w:pPr>
            <w:r>
              <w:rPr>
                <w:rFonts w:ascii="Arial" w:hAnsi="Arial"/>
                <w:sz w:val="16"/>
              </w:rPr>
            </w:r>
            <w:r>
              <w:rPr>
                <w:rFonts w:ascii="Arial" w:hAnsi="Arial"/>
                <w:b w:val="0"/>
                <w:sz w:val="16"/>
              </w:rPr>
              <w:t>Conteo de actividad, accesos e interacción en plataforma</w:t>
            </w:r>
          </w:p>
        </w:tc>
        <w:tc>
          <w:tcPr>
            <w:tcW w:type="dxa" w:w="1680"/>
            <w:vAlign w:val="center"/>
          </w:tcPr>
          <w:p>
            <w:pPr>
              <w:jc w:val="left"/>
            </w:pPr>
            <w:r>
              <w:rPr>
                <w:rFonts w:ascii="Arial" w:hAnsi="Arial"/>
                <w:sz w:val="16"/>
              </w:rPr>
            </w:r>
            <w:r>
              <w:rPr>
                <w:rFonts w:ascii="Arial" w:hAnsi="Arial"/>
                <w:b w:val="0"/>
                <w:sz w:val="16"/>
              </w:rPr>
              <w:t>Logs de Moodle</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Desempeño predictivo temporal</w:t>
            </w:r>
          </w:p>
        </w:tc>
        <w:tc>
          <w:tcPr>
            <w:tcW w:type="dxa" w:w="1680"/>
            <w:vAlign w:val="center"/>
          </w:tcPr>
          <w:p>
            <w:pPr>
              <w:jc w:val="left"/>
            </w:pPr>
            <w:r>
              <w:rPr>
                <w:rFonts w:ascii="Arial" w:hAnsi="Arial"/>
                <w:sz w:val="16"/>
              </w:rPr>
            </w:r>
            <w:r>
              <w:rPr>
                <w:rFonts w:ascii="Arial" w:hAnsi="Arial"/>
                <w:b w:val="0"/>
                <w:sz w:val="16"/>
              </w:rPr>
              <w:t>Importancia mensual de variables</w:t>
            </w:r>
          </w:p>
        </w:tc>
        <w:tc>
          <w:tcPr>
            <w:tcW w:type="dxa" w:w="1680"/>
            <w:vAlign w:val="center"/>
          </w:tcPr>
          <w:p>
            <w:pPr>
              <w:jc w:val="left"/>
            </w:pPr>
            <w:r>
              <w:rPr>
                <w:rFonts w:ascii="Arial" w:hAnsi="Arial"/>
                <w:sz w:val="16"/>
              </w:rPr>
            </w:r>
            <w:r>
              <w:rPr>
                <w:rFonts w:ascii="Arial" w:hAnsi="Arial"/>
                <w:b w:val="0"/>
                <w:sz w:val="16"/>
              </w:rPr>
              <w:t>Variación de importancia de características desde la matrícula</w:t>
            </w:r>
          </w:p>
        </w:tc>
        <w:tc>
          <w:tcPr>
            <w:tcW w:type="dxa" w:w="1680"/>
            <w:vAlign w:val="center"/>
          </w:tcPr>
          <w:p>
            <w:pPr>
              <w:jc w:val="left"/>
            </w:pPr>
            <w:r>
              <w:rPr>
                <w:rFonts w:ascii="Arial" w:hAnsi="Arial"/>
                <w:sz w:val="16"/>
              </w:rPr>
            </w:r>
            <w:r>
              <w:rPr>
                <w:rFonts w:ascii="Arial" w:hAnsi="Arial"/>
                <w:b w:val="0"/>
                <w:sz w:val="16"/>
              </w:rPr>
              <w:t>Pipeline de análisis longitudinal</w:t>
            </w:r>
          </w:p>
        </w:tc>
        <w:tc>
          <w:tcPr>
            <w:tcW w:type="dxa" w:w="1680"/>
            <w:vAlign w:val="center"/>
          </w:tcPr>
          <w:p>
            <w:pPr>
              <w:jc w:val="left"/>
            </w:pPr>
            <w:r>
              <w:rPr>
                <w:rFonts w:ascii="Arial" w:hAnsi="Arial"/>
                <w:sz w:val="16"/>
              </w:rPr>
            </w:r>
            <w:r>
              <w:rPr>
                <w:rFonts w:ascii="Arial" w:hAnsi="Arial"/>
                <w:b w:val="0"/>
                <w:sz w:val="16"/>
              </w:rPr>
              <w:t>Razón</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Trayectoria académica</w:t>
            </w:r>
          </w:p>
        </w:tc>
        <w:tc>
          <w:tcPr>
            <w:tcW w:type="dxa" w:w="1680"/>
            <w:vAlign w:val="center"/>
          </w:tcPr>
          <w:p>
            <w:pPr>
              <w:jc w:val="left"/>
            </w:pPr>
            <w:r>
              <w:rPr>
                <w:rFonts w:ascii="Arial" w:hAnsi="Arial"/>
                <w:sz w:val="16"/>
              </w:rPr>
            </w:r>
            <w:r>
              <w:rPr>
                <w:rFonts w:ascii="Arial" w:hAnsi="Arial"/>
                <w:b w:val="0"/>
                <w:sz w:val="16"/>
              </w:rPr>
              <w:t>Persistencia o abandono</w:t>
            </w:r>
          </w:p>
        </w:tc>
        <w:tc>
          <w:tcPr>
            <w:tcW w:type="dxa" w:w="1680"/>
            <w:vAlign w:val="center"/>
          </w:tcPr>
          <w:p>
            <w:pPr>
              <w:jc w:val="left"/>
            </w:pPr>
            <w:r>
              <w:rPr>
                <w:rFonts w:ascii="Arial" w:hAnsi="Arial"/>
                <w:sz w:val="16"/>
              </w:rPr>
            </w:r>
            <w:r>
              <w:rPr>
                <w:rFonts w:ascii="Arial" w:hAnsi="Arial"/>
                <w:b w:val="0"/>
                <w:sz w:val="16"/>
              </w:rPr>
              <w:t>Continuidad, permanencia, interrupción de estudios</w:t>
            </w:r>
          </w:p>
        </w:tc>
        <w:tc>
          <w:tcPr>
            <w:tcW w:type="dxa" w:w="1680"/>
            <w:vAlign w:val="center"/>
          </w:tcPr>
          <w:p>
            <w:pPr>
              <w:jc w:val="left"/>
            </w:pPr>
            <w:r>
              <w:rPr>
                <w:rFonts w:ascii="Arial" w:hAnsi="Arial"/>
                <w:sz w:val="16"/>
              </w:rPr>
            </w:r>
            <w:r>
              <w:rPr>
                <w:rFonts w:ascii="Arial" w:hAnsi="Arial"/>
                <w:b w:val="0"/>
                <w:sz w:val="16"/>
              </w:rPr>
              <w:t>Registro institucional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Riesgo académico</w:t>
            </w:r>
          </w:p>
        </w:tc>
        <w:tc>
          <w:tcPr>
            <w:tcW w:type="dxa" w:w="1680"/>
            <w:vAlign w:val="center"/>
          </w:tcPr>
          <w:p>
            <w:pPr>
              <w:jc w:val="left"/>
            </w:pPr>
            <w:r>
              <w:rPr>
                <w:rFonts w:ascii="Arial" w:hAnsi="Arial"/>
                <w:sz w:val="16"/>
              </w:rPr>
            </w:r>
            <w:r>
              <w:rPr>
                <w:rFonts w:ascii="Arial" w:hAnsi="Arial"/>
                <w:b w:val="0"/>
                <w:sz w:val="16"/>
              </w:rPr>
              <w:t>Indicadores tempranos</w:t>
            </w:r>
          </w:p>
        </w:tc>
        <w:tc>
          <w:tcPr>
            <w:tcW w:type="dxa" w:w="1680"/>
            <w:vAlign w:val="center"/>
          </w:tcPr>
          <w:p>
            <w:pPr>
              <w:jc w:val="left"/>
            </w:pPr>
            <w:r>
              <w:rPr>
                <w:rFonts w:ascii="Arial" w:hAnsi="Arial"/>
                <w:sz w:val="16"/>
              </w:rPr>
            </w:r>
            <w:r>
              <w:rPr>
                <w:rFonts w:ascii="Arial" w:hAnsi="Arial"/>
                <w:b w:val="0"/>
                <w:sz w:val="16"/>
              </w:rPr>
              <w:t>Cursos desaprobados, bajo avance en créditos</w:t>
            </w:r>
          </w:p>
        </w:tc>
        <w:tc>
          <w:tcPr>
            <w:tcW w:type="dxa" w:w="1680"/>
            <w:vAlign w:val="center"/>
          </w:tcPr>
          <w:p>
            <w:pPr>
              <w:jc w:val="left"/>
            </w:pPr>
            <w:r>
              <w:rPr>
                <w:rFonts w:ascii="Arial" w:hAnsi="Arial"/>
                <w:sz w:val="16"/>
              </w:rPr>
            </w:r>
            <w:r>
              <w:rPr>
                <w:rFonts w:ascii="Arial" w:hAnsi="Arial"/>
                <w:b w:val="0"/>
                <w:sz w:val="16"/>
              </w:rPr>
              <w:t>Registro académico</w:t>
            </w:r>
          </w:p>
        </w:tc>
        <w:tc>
          <w:tcPr>
            <w:tcW w:type="dxa" w:w="1680"/>
            <w:vAlign w:val="center"/>
          </w:tcPr>
          <w:p>
            <w:pPr>
              <w:jc w:val="left"/>
            </w:pPr>
            <w:r>
              <w:rPr>
                <w:rFonts w:ascii="Arial" w:hAnsi="Arial"/>
                <w:sz w:val="16"/>
              </w:rPr>
            </w:r>
            <w:r>
              <w:rPr>
                <w:rFonts w:ascii="Arial" w:hAnsi="Arial"/>
                <w:b w:val="0"/>
                <w:sz w:val="16"/>
              </w:rPr>
              <w:t>Razón / ordinal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Nivel de riesgo</w:t>
            </w:r>
          </w:p>
        </w:tc>
        <w:tc>
          <w:tcPr>
            <w:tcW w:type="dxa" w:w="1680"/>
            <w:vAlign w:val="center"/>
          </w:tcPr>
          <w:p>
            <w:pPr>
              <w:jc w:val="left"/>
            </w:pPr>
            <w:r>
              <w:rPr>
                <w:rFonts w:ascii="Arial" w:hAnsi="Arial"/>
                <w:sz w:val="16"/>
              </w:rPr>
            </w:r>
            <w:r>
              <w:rPr>
                <w:rFonts w:ascii="Arial" w:hAnsi="Arial"/>
                <w:b w:val="0"/>
                <w:sz w:val="16"/>
              </w:rPr>
              <w:t>Clasificación predictiva</w:t>
            </w:r>
          </w:p>
        </w:tc>
        <w:tc>
          <w:tcPr>
            <w:tcW w:type="dxa" w:w="1680"/>
            <w:vAlign w:val="center"/>
          </w:tcPr>
          <w:p>
            <w:pPr>
              <w:jc w:val="left"/>
            </w:pPr>
            <w:r>
              <w:rPr>
                <w:rFonts w:ascii="Arial" w:hAnsi="Arial"/>
                <w:sz w:val="16"/>
              </w:rPr>
            </w:r>
            <w:r>
              <w:rPr>
                <w:rFonts w:ascii="Arial" w:hAnsi="Arial"/>
                <w:b w:val="0"/>
                <w:sz w:val="16"/>
              </w:rPr>
              <w:t>Probabilidad estimada de abandono por periodo</w:t>
            </w:r>
          </w:p>
        </w:tc>
        <w:tc>
          <w:tcPr>
            <w:tcW w:type="dxa" w:w="1680"/>
            <w:vAlign w:val="center"/>
          </w:tcPr>
          <w:p>
            <w:pPr>
              <w:jc w:val="left"/>
            </w:pPr>
            <w:r>
              <w:rPr>
                <w:rFonts w:ascii="Arial" w:hAnsi="Arial"/>
                <w:sz w:val="16"/>
              </w:rPr>
            </w:r>
            <w:r>
              <w:rPr>
                <w:rFonts w:ascii="Arial" w:hAnsi="Arial"/>
                <w:b w:val="0"/>
                <w:sz w:val="16"/>
              </w:rPr>
              <w:t>Modelo predictivo</w:t>
            </w:r>
          </w:p>
        </w:tc>
        <w:tc>
          <w:tcPr>
            <w:tcW w:type="dxa" w:w="1680"/>
            <w:vAlign w:val="center"/>
          </w:tcPr>
          <w:p>
            <w:pPr>
              <w:jc w:val="left"/>
            </w:pPr>
            <w:r>
              <w:rPr>
                <w:rFonts w:ascii="Arial" w:hAnsi="Arial"/>
                <w:sz w:val="16"/>
              </w:rPr>
            </w:r>
            <w:r>
              <w:rPr>
                <w:rFonts w:ascii="Arial" w:hAnsi="Arial"/>
                <w:b w:val="0"/>
                <w:sz w:val="16"/>
              </w:rPr>
              <w:t>Razón</w:t>
            </w:r>
          </w:p>
        </w:tc>
      </w:tr>
    </w:tbl>
    <w:p/>
    <w:p>
      <w:r>
        <w:rPr>
          <w:b/>
        </w:rPr>
        <w:t xml:space="preserve">Referencia del artículo: </w:t>
      </w:r>
      <w:r>
        <w:t>Matti Vaarma; Hongxiu Li. Predicting student dropouts with machine learning: An empirical study in Finnish higher education. Technology in Society, 76, 102474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