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13</w:t>
      </w:r>
    </w:p>
    <w:p>
      <w:r>
        <w:rPr>
          <w:b/>
          <w:sz w:val="22"/>
        </w:rPr>
        <w:t xml:space="preserve">Author(s): </w:t>
      </w:r>
      <w:r>
        <w:t>Markson Rebelo Marcolino et al.</w:t>
      </w:r>
    </w:p>
    <w:p>
      <w:r>
        <w:rPr>
          <w:b/>
          <w:sz w:val="22"/>
        </w:rPr>
        <w:t xml:space="preserve">Title of paper: </w:t>
      </w:r>
      <w:r>
        <w:t>Student dropout prediction through machine learning optimization: insights from Moodle log data</w:t>
      </w:r>
    </w:p>
    <w:p>
      <w:r>
        <w:rPr>
          <w:b/>
          <w:sz w:val="22"/>
        </w:rPr>
        <w:t xml:space="preserve">Journal: </w:t>
      </w:r>
      <w:r>
        <w:t>Scientific Reports</w:t>
      </w:r>
    </w:p>
    <w:p>
      <w:r>
        <w:rPr>
          <w:b/>
          <w:sz w:val="22"/>
        </w:rPr>
        <w:t xml:space="preserve">Volume (issue): </w:t>
      </w:r>
      <w:r>
        <w:t>15</w:t>
      </w:r>
    </w:p>
    <w:p>
      <w:r>
        <w:rPr>
          <w:b/>
          <w:sz w:val="22"/>
        </w:rPr>
        <w:t xml:space="preserve">pag - pag (year): </w:t>
      </w:r>
      <w:r>
        <w:t>9840 (2025)</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emplea logs de Moodle para predecir abandono y fracaso académico mediante CatBoost, ADASYN y optimización multiobjetivo NSGA-II.</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CatBoost entrenado con registros semanales de actividad Moodle, balanceo ADASYN y optimización de hiperparámetros con NSGA-II.</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CatBoost entrenado con registros semanales de actividad Moodle, balanceo ADASYN y optimización de hiperparámetros con NSGA-II.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CatBoost entrenado con registros semanales de actividad Moodle, balanceo ADASYN y optimización de hiperparámetros con NSGA-II.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F1-score y recall, con un F1 promedio aproximado de 0.8 en prueba holdout para el modelo con todas las semanas.</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Fusión de datos LMS</w:t>
            </w:r>
          </w:p>
        </w:tc>
        <w:tc>
          <w:tcPr>
            <w:tcW w:type="dxa" w:w="1680"/>
            <w:vAlign w:val="center"/>
          </w:tcPr>
          <w:p>
            <w:pPr>
              <w:jc w:val="left"/>
            </w:pPr>
            <w:r>
              <w:rPr>
                <w:rFonts w:ascii="Arial" w:hAnsi="Arial"/>
                <w:sz w:val="16"/>
              </w:rPr>
            </w:r>
            <w:r>
              <w:rPr>
                <w:rFonts w:ascii="Arial" w:hAnsi="Arial"/>
                <w:b w:val="0"/>
                <w:sz w:val="16"/>
              </w:rPr>
              <w:t>Registros semanales Moodle</w:t>
            </w:r>
          </w:p>
        </w:tc>
        <w:tc>
          <w:tcPr>
            <w:tcW w:type="dxa" w:w="1680"/>
            <w:vAlign w:val="center"/>
          </w:tcPr>
          <w:p>
            <w:pPr>
              <w:jc w:val="left"/>
            </w:pPr>
            <w:r>
              <w:rPr>
                <w:rFonts w:ascii="Arial" w:hAnsi="Arial"/>
                <w:sz w:val="16"/>
              </w:rPr>
            </w:r>
            <w:r>
              <w:rPr>
                <w:rFonts w:ascii="Arial" w:hAnsi="Arial"/>
                <w:b w:val="0"/>
                <w:sz w:val="16"/>
              </w:rPr>
              <w:t>Actividad semanal, patrones de acceso y participación</w:t>
            </w:r>
          </w:p>
        </w:tc>
        <w:tc>
          <w:tcPr>
            <w:tcW w:type="dxa" w:w="1680"/>
            <w:vAlign w:val="center"/>
          </w:tcPr>
          <w:p>
            <w:pPr>
              <w:jc w:val="left"/>
            </w:pPr>
            <w:r>
              <w:rPr>
                <w:rFonts w:ascii="Arial" w:hAnsi="Arial"/>
                <w:sz w:val="16"/>
              </w:rPr>
            </w:r>
            <w:r>
              <w:rPr>
                <w:rFonts w:ascii="Arial" w:hAnsi="Arial"/>
                <w:b w:val="0"/>
                <w:sz w:val="16"/>
              </w:rPr>
              <w:t>Logs Moodle exportados</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Optimización del modelo</w:t>
            </w:r>
          </w:p>
        </w:tc>
        <w:tc>
          <w:tcPr>
            <w:tcW w:type="dxa" w:w="1680"/>
            <w:vAlign w:val="center"/>
          </w:tcPr>
          <w:p>
            <w:pPr>
              <w:jc w:val="left"/>
            </w:pPr>
            <w:r>
              <w:rPr>
                <w:rFonts w:ascii="Arial" w:hAnsi="Arial"/>
                <w:sz w:val="16"/>
              </w:rPr>
            </w:r>
            <w:r>
              <w:rPr>
                <w:rFonts w:ascii="Arial" w:hAnsi="Arial"/>
                <w:b w:val="0"/>
                <w:sz w:val="16"/>
              </w:rPr>
              <w:t>CatBoost con NSGA-II</w:t>
            </w:r>
          </w:p>
        </w:tc>
        <w:tc>
          <w:tcPr>
            <w:tcW w:type="dxa" w:w="1680"/>
            <w:vAlign w:val="center"/>
          </w:tcPr>
          <w:p>
            <w:pPr>
              <w:jc w:val="left"/>
            </w:pPr>
            <w:r>
              <w:rPr>
                <w:rFonts w:ascii="Arial" w:hAnsi="Arial"/>
                <w:sz w:val="16"/>
              </w:rPr>
            </w:r>
            <w:r>
              <w:rPr>
                <w:rFonts w:ascii="Arial" w:hAnsi="Arial"/>
                <w:b w:val="0"/>
                <w:sz w:val="16"/>
              </w:rPr>
              <w:t>Hiperparámetros optimizados y balanceo ADASYN</w:t>
            </w:r>
          </w:p>
        </w:tc>
        <w:tc>
          <w:tcPr>
            <w:tcW w:type="dxa" w:w="1680"/>
            <w:vAlign w:val="center"/>
          </w:tcPr>
          <w:p>
            <w:pPr>
              <w:jc w:val="left"/>
            </w:pPr>
            <w:r>
              <w:rPr>
                <w:rFonts w:ascii="Arial" w:hAnsi="Arial"/>
                <w:sz w:val="16"/>
              </w:rPr>
            </w:r>
            <w:r>
              <w:rPr>
                <w:rFonts w:ascii="Arial" w:hAnsi="Arial"/>
                <w:b w:val="0"/>
                <w:sz w:val="16"/>
              </w:rPr>
              <w:t>Pipeline experimental</w:t>
            </w:r>
          </w:p>
        </w:tc>
        <w:tc>
          <w:tcPr>
            <w:tcW w:type="dxa" w:w="1680"/>
            <w:vAlign w:val="center"/>
          </w:tcPr>
          <w:p>
            <w:pPr>
              <w:jc w:val="left"/>
            </w:pPr>
            <w:r>
              <w:rPr>
                <w:rFonts w:ascii="Arial" w:hAnsi="Arial"/>
                <w:sz w:val="16"/>
              </w:rPr>
            </w:r>
            <w:r>
              <w:rPr>
                <w:rFonts w:ascii="Arial" w:hAnsi="Arial"/>
                <w:b w:val="0"/>
                <w:sz w:val="16"/>
              </w:rPr>
              <w:t>Nominal / 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Tratamiento del desbalance</w:t>
            </w:r>
          </w:p>
        </w:tc>
        <w:tc>
          <w:tcPr>
            <w:tcW w:type="dxa" w:w="1680"/>
            <w:vAlign w:val="center"/>
          </w:tcPr>
          <w:p>
            <w:pPr>
              <w:jc w:val="left"/>
            </w:pPr>
            <w:r>
              <w:rPr>
                <w:rFonts w:ascii="Arial" w:hAnsi="Arial"/>
                <w:sz w:val="16"/>
              </w:rPr>
            </w:r>
            <w:r>
              <w:rPr>
                <w:rFonts w:ascii="Arial" w:hAnsi="Arial"/>
                <w:b w:val="0"/>
                <w:sz w:val="16"/>
              </w:rPr>
              <w:t>Balanceo de clase minoritaria</w:t>
            </w:r>
          </w:p>
        </w:tc>
        <w:tc>
          <w:tcPr>
            <w:tcW w:type="dxa" w:w="1680"/>
            <w:vAlign w:val="center"/>
          </w:tcPr>
          <w:p>
            <w:pPr>
              <w:jc w:val="left"/>
            </w:pPr>
            <w:r>
              <w:rPr>
                <w:rFonts w:ascii="Arial" w:hAnsi="Arial"/>
                <w:sz w:val="16"/>
              </w:rPr>
            </w:r>
            <w:r>
              <w:rPr>
                <w:rFonts w:ascii="Arial" w:hAnsi="Arial"/>
                <w:b w:val="0"/>
                <w:sz w:val="16"/>
              </w:rPr>
              <w:t>Muestras sintéticas y ajuste de distribución de clases</w:t>
            </w:r>
          </w:p>
        </w:tc>
        <w:tc>
          <w:tcPr>
            <w:tcW w:type="dxa" w:w="1680"/>
            <w:vAlign w:val="center"/>
          </w:tcPr>
          <w:p>
            <w:pPr>
              <w:jc w:val="left"/>
            </w:pPr>
            <w:r>
              <w:rPr>
                <w:rFonts w:ascii="Arial" w:hAnsi="Arial"/>
                <w:sz w:val="16"/>
              </w:rPr>
            </w:r>
            <w:r>
              <w:rPr>
                <w:rFonts w:ascii="Arial" w:hAnsi="Arial"/>
                <w:b w:val="0"/>
                <w:sz w:val="16"/>
              </w:rPr>
              <w:t>Técnica ADASYN</w:t>
            </w:r>
          </w:p>
        </w:tc>
        <w:tc>
          <w:tcPr>
            <w:tcW w:type="dxa" w:w="1680"/>
            <w:vAlign w:val="center"/>
          </w:tcPr>
          <w:p>
            <w:pPr>
              <w:jc w:val="left"/>
            </w:pPr>
            <w:r>
              <w:rPr>
                <w:rFonts w:ascii="Arial" w:hAnsi="Arial"/>
                <w:sz w:val="16"/>
              </w:rPr>
            </w:r>
            <w:r>
              <w:rPr>
                <w:rFonts w:ascii="Arial" w:hAnsi="Arial"/>
                <w:b w:val="0"/>
                <w:sz w:val="16"/>
              </w:rPr>
              <w:t>Nominal</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Riesgo de abandono</w:t>
            </w:r>
          </w:p>
        </w:tc>
        <w:tc>
          <w:tcPr>
            <w:tcW w:type="dxa" w:w="1680"/>
            <w:vAlign w:val="center"/>
          </w:tcPr>
          <w:p>
            <w:pPr>
              <w:jc w:val="left"/>
            </w:pPr>
            <w:r>
              <w:rPr>
                <w:rFonts w:ascii="Arial" w:hAnsi="Arial"/>
                <w:sz w:val="16"/>
              </w:rPr>
            </w:r>
            <w:r>
              <w:rPr>
                <w:rFonts w:ascii="Arial" w:hAnsi="Arial"/>
                <w:b w:val="0"/>
                <w:sz w:val="16"/>
              </w:rPr>
              <w:t>Clasificación del estudiante</w:t>
            </w:r>
          </w:p>
        </w:tc>
        <w:tc>
          <w:tcPr>
            <w:tcW w:type="dxa" w:w="1680"/>
            <w:vAlign w:val="center"/>
          </w:tcPr>
          <w:p>
            <w:pPr>
              <w:jc w:val="left"/>
            </w:pPr>
            <w:r>
              <w:rPr>
                <w:rFonts w:ascii="Arial" w:hAnsi="Arial"/>
                <w:sz w:val="16"/>
              </w:rPr>
            </w:r>
            <w:r>
              <w:rPr>
                <w:rFonts w:ascii="Arial" w:hAnsi="Arial"/>
                <w:b w:val="0"/>
                <w:sz w:val="16"/>
              </w:rPr>
              <w:t>Estudiante en riesgo/no riesgo</w:t>
            </w:r>
          </w:p>
        </w:tc>
        <w:tc>
          <w:tcPr>
            <w:tcW w:type="dxa" w:w="1680"/>
            <w:vAlign w:val="center"/>
          </w:tcPr>
          <w:p>
            <w:pPr>
              <w:jc w:val="left"/>
            </w:pPr>
            <w:r>
              <w:rPr>
                <w:rFonts w:ascii="Arial" w:hAnsi="Arial"/>
                <w:sz w:val="16"/>
              </w:rPr>
            </w:r>
            <w:r>
              <w:rPr>
                <w:rFonts w:ascii="Arial" w:hAnsi="Arial"/>
                <w:b w:val="0"/>
                <w:sz w:val="16"/>
              </w:rPr>
              <w:t>Modelo CatBoost</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Fracaso académico</w:t>
            </w:r>
          </w:p>
        </w:tc>
        <w:tc>
          <w:tcPr>
            <w:tcW w:type="dxa" w:w="1680"/>
            <w:vAlign w:val="center"/>
          </w:tcPr>
          <w:p>
            <w:pPr>
              <w:jc w:val="left"/>
            </w:pPr>
            <w:r>
              <w:rPr>
                <w:rFonts w:ascii="Arial" w:hAnsi="Arial"/>
                <w:sz w:val="16"/>
              </w:rPr>
            </w:r>
            <w:r>
              <w:rPr>
                <w:rFonts w:ascii="Arial" w:hAnsi="Arial"/>
                <w:b w:val="0"/>
                <w:sz w:val="16"/>
              </w:rPr>
              <w:t>Resultado de desempeño</w:t>
            </w:r>
          </w:p>
        </w:tc>
        <w:tc>
          <w:tcPr>
            <w:tcW w:type="dxa" w:w="1680"/>
            <w:vAlign w:val="center"/>
          </w:tcPr>
          <w:p>
            <w:pPr>
              <w:jc w:val="left"/>
            </w:pPr>
            <w:r>
              <w:rPr>
                <w:rFonts w:ascii="Arial" w:hAnsi="Arial"/>
                <w:sz w:val="16"/>
              </w:rPr>
            </w:r>
            <w:r>
              <w:rPr>
                <w:rFonts w:ascii="Arial" w:hAnsi="Arial"/>
                <w:b w:val="0"/>
                <w:sz w:val="16"/>
              </w:rPr>
              <w:t>Aprobación, reprobación, abandono</w:t>
            </w:r>
          </w:p>
        </w:tc>
        <w:tc>
          <w:tcPr>
            <w:tcW w:type="dxa" w:w="1680"/>
            <w:vAlign w:val="center"/>
          </w:tcPr>
          <w:p>
            <w:pPr>
              <w:jc w:val="left"/>
            </w:pPr>
            <w:r>
              <w:rPr>
                <w:rFonts w:ascii="Arial" w:hAnsi="Arial"/>
                <w:sz w:val="16"/>
              </w:rPr>
            </w:r>
            <w:r>
              <w:rPr>
                <w:rFonts w:ascii="Arial" w:hAnsi="Arial"/>
                <w:b w:val="0"/>
                <w:sz w:val="16"/>
              </w:rPr>
              <w:t>Registro académico y LMS</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Alerta temprana</w:t>
            </w:r>
          </w:p>
        </w:tc>
        <w:tc>
          <w:tcPr>
            <w:tcW w:type="dxa" w:w="1680"/>
            <w:vAlign w:val="center"/>
          </w:tcPr>
          <w:p>
            <w:pPr>
              <w:jc w:val="left"/>
            </w:pPr>
            <w:r>
              <w:rPr>
                <w:rFonts w:ascii="Arial" w:hAnsi="Arial"/>
                <w:sz w:val="16"/>
              </w:rPr>
            </w:r>
            <w:r>
              <w:rPr>
                <w:rFonts w:ascii="Arial" w:hAnsi="Arial"/>
                <w:b w:val="0"/>
                <w:sz w:val="16"/>
              </w:rPr>
              <w:t>Detección semanal</w:t>
            </w:r>
          </w:p>
        </w:tc>
        <w:tc>
          <w:tcPr>
            <w:tcW w:type="dxa" w:w="1680"/>
            <w:vAlign w:val="center"/>
          </w:tcPr>
          <w:p>
            <w:pPr>
              <w:jc w:val="left"/>
            </w:pPr>
            <w:r>
              <w:rPr>
                <w:rFonts w:ascii="Arial" w:hAnsi="Arial"/>
                <w:sz w:val="16"/>
              </w:rPr>
            </w:r>
            <w:r>
              <w:rPr>
                <w:rFonts w:ascii="Arial" w:hAnsi="Arial"/>
                <w:b w:val="0"/>
                <w:sz w:val="16"/>
              </w:rPr>
              <w:t>Probabilidad de riesgo por semana</w:t>
            </w:r>
          </w:p>
        </w:tc>
        <w:tc>
          <w:tcPr>
            <w:tcW w:type="dxa" w:w="1680"/>
            <w:vAlign w:val="center"/>
          </w:tcPr>
          <w:p>
            <w:pPr>
              <w:jc w:val="left"/>
            </w:pPr>
            <w:r>
              <w:rPr>
                <w:rFonts w:ascii="Arial" w:hAnsi="Arial"/>
                <w:sz w:val="16"/>
              </w:rPr>
            </w:r>
            <w:r>
              <w:rPr>
                <w:rFonts w:ascii="Arial" w:hAnsi="Arial"/>
                <w:b w:val="0"/>
                <w:sz w:val="16"/>
              </w:rPr>
              <w:t>Sistema predictivo semanal</w:t>
            </w:r>
          </w:p>
        </w:tc>
        <w:tc>
          <w:tcPr>
            <w:tcW w:type="dxa" w:w="1680"/>
            <w:vAlign w:val="center"/>
          </w:tcPr>
          <w:p>
            <w:pPr>
              <w:jc w:val="left"/>
            </w:pPr>
            <w:r>
              <w:rPr>
                <w:rFonts w:ascii="Arial" w:hAnsi="Arial"/>
                <w:sz w:val="16"/>
              </w:rPr>
            </w:r>
            <w:r>
              <w:rPr>
                <w:rFonts w:ascii="Arial" w:hAnsi="Arial"/>
                <w:b w:val="0"/>
                <w:sz w:val="16"/>
              </w:rPr>
              <w:t>Razón</w:t>
            </w:r>
          </w:p>
        </w:tc>
      </w:tr>
    </w:tbl>
    <w:p/>
    <w:p>
      <w:r>
        <w:rPr>
          <w:b/>
        </w:rPr>
        <w:t xml:space="preserve">Referencia del artículo: </w:t>
      </w:r>
      <w:r>
        <w:t>Markson Rebelo Marcolino et al.. Student dropout prediction through machine learning optimization: insights from Moodle log data. Scientific Reports, 15, 9840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