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PLANTILLA DEL ESTADO DEL ARTE - ARTÍCULO 20</w:t>
      </w:r>
    </w:p>
    <w:p>
      <w:r>
        <w:rPr>
          <w:b/>
          <w:sz w:val="22"/>
        </w:rPr>
        <w:t xml:space="preserve">Author(s): </w:t>
      </w:r>
      <w:r>
        <w:t>Neha Karade; Manisha Patil; Dhruvi Jariwala</w:t>
      </w:r>
    </w:p>
    <w:p>
      <w:r>
        <w:rPr>
          <w:b/>
          <w:sz w:val="22"/>
        </w:rPr>
        <w:t xml:space="preserve">Title of paper: </w:t>
      </w:r>
      <w:r>
        <w:t>Predicting Student Dropout Rates Using Machine Learning Techniques</w:t>
      </w:r>
    </w:p>
    <w:p>
      <w:r>
        <w:rPr>
          <w:b/>
          <w:sz w:val="22"/>
        </w:rPr>
        <w:t xml:space="preserve">Journal: </w:t>
      </w:r>
      <w:r>
        <w:t>International Journal of Scientific and Research Publications</w:t>
      </w:r>
    </w:p>
    <w:p>
      <w:r>
        <w:rPr>
          <w:b/>
          <w:sz w:val="22"/>
        </w:rPr>
        <w:t xml:space="preserve">Volume (issue): </w:t>
      </w:r>
      <w:r>
        <w:t>16(2)</w:t>
      </w:r>
    </w:p>
    <w:p>
      <w:r>
        <w:rPr>
          <w:b/>
          <w:sz w:val="22"/>
        </w:rPr>
        <w:t xml:space="preserve">pag - pag (year): </w:t>
      </w:r>
      <w:r>
        <w:t>179-187 (2026)</w:t>
      </w:r>
    </w:p>
    <w:p>
      <w:r>
        <w:rPr>
          <w:i/>
        </w:rPr>
        <w:t>Escriba con sus propias palabras</w:t>
      </w:r>
    </w:p>
    <w:p>
      <w:r>
        <w:rPr>
          <w:b/>
          <w:sz w:val="24"/>
        </w:rPr>
        <w:t>Estado del arte que hace el autor (1 página)</w:t>
      </w:r>
    </w:p>
    <w:p>
      <w:pPr>
        <w:spacing w:line="276" w:lineRule="auto" w:after="120"/>
        <w:jc w:val="both"/>
      </w:pPr>
      <w:r>
        <w:rPr>
          <w:rFonts w:ascii="Arial" w:hAnsi="Arial"/>
          <w:sz w:val="22"/>
        </w:rPr>
        <w:t>El artículo analiza el problema de la deserción estudiantil desde una perspectiva de analítica educativa y aprendizaje automático. Su aporte se ubica dentro de una línea de investigación reciente que busca transformar datos institucionales, registros académicos y evidencias de interacción digital en insumos útiles para identificar estudiantes con riesgo de abandono. En este contexto, el trabajo se relaciona directamente con la variable independiente de la presente tesis, porque estudia el uso de modelos predictivos y datos educativos para anticipar el riesgo de deserción.</w:t>
      </w:r>
    </w:p>
    <w:p>
      <w:pPr>
        <w:spacing w:line="276" w:lineRule="auto" w:after="120"/>
        <w:jc w:val="both"/>
      </w:pPr>
      <w:r>
        <w:rPr>
          <w:rFonts w:ascii="Arial" w:hAnsi="Arial"/>
          <w:sz w:val="22"/>
        </w:rPr>
        <w:t>En el estado del arte revisado por los autores se reconoce que los primeros estudios sobre abandono académico se apoyaban principalmente en modelos estadísticos tradicionales y en variables académicas aisladas. Sin embargo, la expansión de plataformas LMS, cursos virtuales y bases institucionales ha permitido construir modelos con mayor capacidad predictiva. El artículo seleccionado compara Logistic Regression, Decision Tree, Random Forest y SVM con 1,200 estudiantes de educación superior.</w:t>
      </w:r>
    </w:p>
    <w:p>
      <w:pPr>
        <w:spacing w:line="276" w:lineRule="auto" w:after="120"/>
        <w:jc w:val="both"/>
      </w:pPr>
      <w:r>
        <w:rPr>
          <w:rFonts w:ascii="Arial" w:hAnsi="Arial"/>
          <w:sz w:val="22"/>
        </w:rPr>
        <w:t>La literatura citada en el estudio resalta que los modelos de machine learning han permitido superar limitaciones de los análisis descriptivos. En lugar de esperar a que el abandono ocurra, los sistemas predictivos permiten estimar la probabilidad de riesgo con base en patrones de rendimiento, participación y comportamiento. Esta idea coincide con el enfoque de la tesis, donde se propone integrar datos académicos y comportamiento en LMS para mejorar la identificación temprana.</w:t>
      </w:r>
    </w:p>
    <w:p>
      <w:pPr>
        <w:spacing w:line="276" w:lineRule="auto" w:after="120"/>
        <w:jc w:val="both"/>
      </w:pPr>
      <w:r>
        <w:rPr>
          <w:rFonts w:ascii="Arial" w:hAnsi="Arial"/>
          <w:sz w:val="22"/>
        </w:rPr>
        <w:t>El artículo también se vincula con investigaciones sobre educational data mining y learning analytics. Estos enfoques no solo buscan clasificar estudiantes, sino comprender cuáles variables explican el riesgo. Por ello, el trabajo aporta evidencia sobre la utilidad de modelos supervisados, modelos de ensamble, optimización o explicabilidad, dependiendo del caso analizado. Esta perspectiva fortalece el sustento teórico del modelo predictivo basado en ensemble learning.</w:t>
      </w:r>
    </w:p>
    <w:p>
      <w:pPr>
        <w:spacing w:line="276" w:lineRule="auto" w:after="120"/>
        <w:jc w:val="both"/>
      </w:pPr>
      <w:r>
        <w:rPr>
          <w:rFonts w:ascii="Arial" w:hAnsi="Arial"/>
          <w:sz w:val="22"/>
        </w:rPr>
        <w:t>En conjunto, el estado del arte del artículo evidencia que la deserción estudiantil es un fenómeno multidimensional. No depende únicamente de notas finales, sino también de la interacción del estudiante con el entorno educativo, el avance académico, la regularidad de participación y la disponibilidad de señales tempranas. Por esa razón, su revisión resulta pertinente para una tesis que propone fusionar datos académicos y registros LMS en la I.E.P. Blenkir Huancayo.</w:t>
      </w:r>
    </w:p>
    <w:p>
      <w:r>
        <w:rPr>
          <w:b/>
          <w:sz w:val="24"/>
        </w:rPr>
        <w:t>Motivación del autor (críticas del autor a otros trabajos) (0.5 página)</w:t>
      </w:r>
    </w:p>
    <w:p>
      <w:pPr>
        <w:spacing w:line="276" w:lineRule="auto" w:after="120"/>
        <w:jc w:val="both"/>
      </w:pPr>
      <w:r>
        <w:rPr>
          <w:rFonts w:ascii="Arial" w:hAnsi="Arial"/>
          <w:sz w:val="22"/>
        </w:rPr>
        <w:t>La motivación central del autor surge de la necesidad de anticipar el abandono antes de que se convierta en una pérdida definitiva para el estudiante y la institución. El trabajo parte de la crítica a los mecanismos tradicionales de seguimiento académico, los cuales suelen detectar el problema cuando el estudiante ya presenta bajo rendimiento sostenido o ha interrumpido su trayectoria.</w:t>
      </w:r>
    </w:p>
    <w:p>
      <w:pPr>
        <w:spacing w:line="276" w:lineRule="auto" w:after="120"/>
        <w:jc w:val="both"/>
      </w:pPr>
      <w:r>
        <w:rPr>
          <w:rFonts w:ascii="Arial" w:hAnsi="Arial"/>
          <w:sz w:val="22"/>
        </w:rPr>
        <w:t>Otro vacío importante señalado por el artículo es que muchos modelos se diseñan con información incompleta o poco actualizada. La predicción basada únicamente en datos administrativos puede limitar la sensibilidad del modelo, mientras que los registros LMS permiten observar comportamiento real, frecuencia de participación y señales de desconexión. Por eso, el artículo justifica el uso de validación cruzada estratificada 5x3, análisis de importancia de variables y comparación de modelos de clasificación.</w:t>
      </w:r>
    </w:p>
    <w:p>
      <w:pPr>
        <w:spacing w:line="276" w:lineRule="auto" w:after="120"/>
        <w:jc w:val="both"/>
      </w:pPr>
      <w:r>
        <w:rPr>
          <w:rFonts w:ascii="Arial" w:hAnsi="Arial"/>
          <w:sz w:val="22"/>
        </w:rPr>
        <w:t>La motivación también está relacionada con la necesidad de modelos interpretables y útiles para la toma de decisiones. No basta con obtener un porcentaje de acierto; las instituciones necesitan comprender qué factores incrementan el riesgo y cómo intervenir. Esta preocupación es relevante para la presente tesis, porque el modelo propuesto no debe quedarse en la clasificación, sino servir como base para alertas tempranas y apoyo académico.</w:t>
      </w:r>
    </w:p>
    <w:p>
      <w:r>
        <w:rPr>
          <w:b/>
          <w:sz w:val="24"/>
        </w:rPr>
        <w:t>Descripción del aporte del autor (2 páginas)</w:t>
      </w:r>
    </w:p>
    <w:p>
      <w:pPr>
        <w:spacing w:line="276" w:lineRule="auto" w:after="120"/>
        <w:jc w:val="both"/>
      </w:pPr>
      <w:r>
        <w:rPr>
          <w:rFonts w:ascii="Arial" w:hAnsi="Arial"/>
          <w:sz w:val="22"/>
        </w:rPr>
        <w:t>El principal aporte del artículo consiste en proponer y evaluar una estrategia de predicción de abandono estudiantil basada en datos educativos reales. El trabajo no aborda la deserción como un fenómeno meramente teórico, sino como un problema de decisión institucional que puede ser analizado mediante técnicas computacionales. En ese sentido, su contribución se alinea con la construcción de modelos predictivos para identificar estudiantes en riesgo.</w:t>
      </w:r>
    </w:p>
    <w:p>
      <w:pPr>
        <w:spacing w:line="276" w:lineRule="auto" w:after="120"/>
        <w:jc w:val="both"/>
      </w:pPr>
      <w:r>
        <w:rPr>
          <w:rFonts w:ascii="Arial" w:hAnsi="Arial"/>
          <w:sz w:val="22"/>
        </w:rPr>
        <w:t>El artículo aporta evidencia metodológica sobre validación cruzada estratificada 5x3, análisis de importancia de variables y comparación de modelos de clasificación. Este procedimiento permite convertir registros dispersos en variables observables, medibles y comparables. La integración de estos datos resulta especialmente importante cuando se busca construir un sistema de alerta temprana, porque permite detectar señales antes de que el abandono sea irreversible.</w:t>
      </w:r>
    </w:p>
    <w:p>
      <w:pPr>
        <w:spacing w:line="276" w:lineRule="auto" w:after="120"/>
        <w:jc w:val="both"/>
      </w:pPr>
      <w:r>
        <w:rPr>
          <w:rFonts w:ascii="Arial" w:hAnsi="Arial"/>
          <w:sz w:val="22"/>
        </w:rPr>
        <w:t>Desde la perspectiva de impacto institucional, el aporte permite orientar intervenciones académicas más oportunas. Un estudiante clasificado con alto riesgo puede recibir tutorías, seguimiento personalizado, apoyo tecnológico o revisión de su desempeño. De esta manera, el modelo predictivo se convierte en una herramienta de gestión educativa y no solo en un ejercicio estadístico.</w:t>
      </w:r>
    </w:p>
    <w:p>
      <w:pPr>
        <w:spacing w:line="276" w:lineRule="auto" w:after="120"/>
        <w:jc w:val="both"/>
      </w:pPr>
      <w:r>
        <w:rPr>
          <w:rFonts w:ascii="Arial" w:hAnsi="Arial"/>
          <w:sz w:val="22"/>
        </w:rPr>
        <w:t>Para la presente tesis, el artículo es útil porque demuestra que los modelos de machine learning y, en particular, los enfoques de ensamble o comparación algorítmica, pueden mejorar la comprensión del riesgo de deserción. Además, permite sustentar que la fusión de datos académicos y LMS puede incrementar la capacidad explicativa del modelo al incluir tanto resultados académicos como evidencias de comportamiento.</w:t>
      </w:r>
    </w:p>
    <w:p>
      <w:r>
        <w:rPr>
          <w:b/>
          <w:sz w:val="24"/>
        </w:rPr>
        <w:t>Proceso para obtener el aporte que considera el autor (1 página)</w:t>
      </w:r>
    </w:p>
    <w:p>
      <w:pPr>
        <w:spacing w:line="276" w:lineRule="auto" w:after="120"/>
        <w:jc w:val="both"/>
      </w:pPr>
      <w:r>
        <w:rPr>
          <w:rFonts w:ascii="Arial" w:hAnsi="Arial"/>
          <w:sz w:val="22"/>
        </w:rPr>
        <w:t>El proceso seguido por los autores inicia con la definición del problema de predicción y la selección de variables disponibles. Estas variables pueden provenir de registros académicos, información demográfica, actividades en LMS, historial de matrícula o variables de participación. Posteriormente, los datos se limpian, integran y transforman para construir un conjunto de datos apto para aprendizaje automático.</w:t>
      </w:r>
    </w:p>
    <w:p>
      <w:pPr>
        <w:spacing w:line="276" w:lineRule="auto" w:after="120"/>
        <w:jc w:val="both"/>
      </w:pPr>
      <w:r>
        <w:rPr>
          <w:rFonts w:ascii="Arial" w:hAnsi="Arial"/>
          <w:sz w:val="22"/>
        </w:rPr>
        <w:t>Una etapa relevante es el preprocesamiento. En este punto se tratan valores faltantes, se codifican variables categóricas, se normalizan datos numéricos cuando corresponde y se atiende el desbalance de clases. Esta fase es esencial porque el abandono suele ser una clase minoritaria, lo que puede generar modelos aparentemente precisos pero poco útiles para detectar a los estudiantes realmente vulnerables.</w:t>
      </w:r>
    </w:p>
    <w:p>
      <w:pPr>
        <w:spacing w:line="276" w:lineRule="auto" w:after="120"/>
        <w:jc w:val="both"/>
      </w:pPr>
      <w:r>
        <w:rPr>
          <w:rFonts w:ascii="Arial" w:hAnsi="Arial"/>
          <w:sz w:val="22"/>
        </w:rPr>
        <w:t>Luego, el artículo aplica validación cruzada estratificada 5x3, análisis de importancia de variables y comparación de modelos de clasificación. La selección de este procedimiento permite comparar alternativas de modelado o mejorar la estabilidad predictiva. En trabajos de deserción, esta etapa resulta clave porque el fenómeno incluye patrones no lineales y relaciones complejas entre desempeño, participación y contexto académico.</w:t>
      </w:r>
    </w:p>
    <w:p>
      <w:pPr>
        <w:spacing w:line="276" w:lineRule="auto" w:after="120"/>
        <w:jc w:val="both"/>
      </w:pPr>
      <w:r>
        <w:rPr>
          <w:rFonts w:ascii="Arial" w:hAnsi="Arial"/>
          <w:sz w:val="22"/>
        </w:rPr>
        <w:t>Finalmente, los autores evalúan los resultados y discuten la utilidad de las variables más influyentes. Este proceso permite pasar de un modelo técnico a una interpretación educativa: no solo se predice quién podría abandonar, sino también qué señales explican el riesgo y cómo podrían orientar acciones preventivas.</w:t>
      </w:r>
    </w:p>
    <w:p>
      <w:r>
        <w:rPr>
          <w:b/>
          <w:sz w:val="24"/>
        </w:rPr>
        <w:t>Proceso para resolver el problema considerado por el autor (1 página)</w:t>
      </w:r>
    </w:p>
    <w:p>
      <w:pPr>
        <w:spacing w:line="276" w:lineRule="auto" w:after="120"/>
        <w:jc w:val="both"/>
      </w:pPr>
      <w:r>
        <w:rPr>
          <w:rFonts w:ascii="Arial" w:hAnsi="Arial"/>
          <w:sz w:val="22"/>
        </w:rPr>
        <w:t>Para resolver el problema, el artículo formula la deserción como una tarea de clasificación o predicción. En este enfoque, cada estudiante se representa mediante un conjunto de variables y el modelo aprende patrones asociados a abandono, permanencia o éxito académico. Esta formulación es compatible con el planteamiento de la tesis, donde el riesgo de deserción estudiantil constituye la variable dependiente.</w:t>
      </w:r>
    </w:p>
    <w:p>
      <w:pPr>
        <w:spacing w:line="276" w:lineRule="auto" w:after="120"/>
        <w:jc w:val="both"/>
      </w:pPr>
      <w:r>
        <w:rPr>
          <w:rFonts w:ascii="Arial" w:hAnsi="Arial"/>
          <w:sz w:val="22"/>
        </w:rPr>
        <w:t>El procedimiento experimental se basa en comparar modelos, validar resultados y analizar la influencia de las variables. En algunos casos se utilizan técnicas de balanceo, optimización o explicabilidad, mientras que en otros se evalúa la incorporación de datos LMS frente a datos académicos tradicionales. Esta comparación permite determinar si la fusión de datos mejora realmente el desempeño del modelo.</w:t>
      </w:r>
    </w:p>
    <w:p>
      <w:pPr>
        <w:spacing w:line="276" w:lineRule="auto" w:after="120"/>
        <w:jc w:val="both"/>
      </w:pPr>
      <w:r>
        <w:rPr>
          <w:rFonts w:ascii="Arial" w:hAnsi="Arial"/>
          <w:sz w:val="22"/>
        </w:rPr>
        <w:t>El artículo resuelve el problema mediante evidencia empírica: los modelos se entrenan con datos históricos y se prueban con conjuntos de validación o prueba. A partir de ello se obtienen métricas que permiten valorar el desempeño predictivo. Esta lógica es importante porque evita basar la intervención educativa solo en intuiciones o reportes manuales.</w:t>
      </w:r>
    </w:p>
    <w:p>
      <w:pPr>
        <w:spacing w:line="276" w:lineRule="auto" w:after="120"/>
        <w:jc w:val="both"/>
      </w:pPr>
      <w:r>
        <w:rPr>
          <w:rFonts w:ascii="Arial" w:hAnsi="Arial"/>
          <w:sz w:val="22"/>
        </w:rPr>
        <w:t>El enfoque propuesto también permite generar alertas tempranas. Cuando el sistema identifica estudiantes con alta probabilidad de abandono, la institución puede intervenir antes de que se produzca la deserción. Por ello, el trabajo contribuye a convertir los datos educativos en una herramienta preventiva y de gestión académica.</w:t>
      </w:r>
    </w:p>
    <w:p>
      <w:r>
        <w:rPr>
          <w:b/>
          <w:sz w:val="24"/>
        </w:rPr>
        <w:t>Métricas que el autor usa y resultado que obtiene. Comentar (0.5 página)</w:t>
      </w:r>
    </w:p>
    <w:p>
      <w:pPr>
        <w:spacing w:line="276" w:lineRule="auto" w:after="120"/>
        <w:jc w:val="both"/>
      </w:pPr>
      <w:r>
        <w:rPr>
          <w:rFonts w:ascii="Arial" w:hAnsi="Arial"/>
          <w:sz w:val="22"/>
        </w:rPr>
        <w:t>Las métricas utilizadas por el artículo permiten evaluar si el modelo realmente identifica estudiantes en riesgo. Entre las medidas más frecuentes se encuentran accuracy, precision, recall, F1-score, ROC-AUC o PR-AUC, según la naturaleza del problema y el balance de clases. En este artículo, los resultados principales indican que Random Forest obtuvo accuracy 84.2%, F1-score 0.804 y ROC-AUC 0.897.</w:t>
      </w:r>
    </w:p>
    <w:p>
      <w:pPr>
        <w:spacing w:line="276" w:lineRule="auto" w:after="120"/>
        <w:jc w:val="both"/>
      </w:pPr>
      <w:r>
        <w:rPr>
          <w:rFonts w:ascii="Arial" w:hAnsi="Arial"/>
          <w:sz w:val="22"/>
        </w:rPr>
        <w:t>El uso de métricas como recall y F1-score es especialmente importante en deserción estudiantil. Un modelo con alta exactitud general puede fallar si no identifica correctamente a los estudiantes que abandonan. Por ello, la evaluación debe considerar la clase minoritaria y la capacidad del sistema para detectar casos de riesgo con suficiente anticipación.</w:t>
      </w:r>
    </w:p>
    <w:p>
      <w:pPr>
        <w:spacing w:line="276" w:lineRule="auto" w:after="120"/>
        <w:jc w:val="both"/>
      </w:pPr>
      <w:r>
        <w:rPr>
          <w:rFonts w:ascii="Arial" w:hAnsi="Arial"/>
          <w:sz w:val="22"/>
        </w:rPr>
        <w:t>Los resultados obtenidos por el artículo muestran que la aplicación de machine learning puede aportar valor a los sistemas de seguimiento académico. Sin embargo, también se observa que el desempeño depende de la calidad de los datos, el momento de predicción, la selección de variables y el contexto institucional. Esta observación es fundamental para adaptar cualquier modelo a la realidad de la I.E.P. Blenkir Huancayo.</w:t>
      </w:r>
    </w:p>
    <w:p>
      <w:r>
        <w:rPr>
          <w:b/>
          <w:sz w:val="24"/>
        </w:rPr>
        <w:t>Observaciones y/o críticas suyas al artículo (0.5 página)</w:t>
      </w:r>
    </w:p>
    <w:p>
      <w:pPr>
        <w:spacing w:line="276" w:lineRule="auto" w:after="120"/>
        <w:jc w:val="both"/>
      </w:pPr>
      <w:r>
        <w:rPr>
          <w:rFonts w:ascii="Arial" w:hAnsi="Arial"/>
          <w:sz w:val="22"/>
        </w:rPr>
        <w:t>El artículo es pertinente para la tesis porque aborda el abandono estudiantil desde una perspectiva predictiva y basada en datos. Su principal fortaleza es que conecta variables observables con modelos de clasificación, permitiendo transformar registros académicos o LMS en indicadores útiles para la toma de decisiones.</w:t>
      </w:r>
    </w:p>
    <w:p>
      <w:pPr>
        <w:spacing w:line="276" w:lineRule="auto" w:after="120"/>
        <w:jc w:val="both"/>
      </w:pPr>
      <w:r>
        <w:rPr>
          <w:rFonts w:ascii="Arial" w:hAnsi="Arial"/>
          <w:sz w:val="22"/>
        </w:rPr>
        <w:t>Como crítica, se debe considerar que los resultados de un modelo entrenado en un contexto institucional específico no se trasladan automáticamente a otra institución. La estructura curricular, el uso real del LMS, la calidad de los registros y las características de los estudiantes pueden modificar la capacidad predictiva. Por ello, cualquier adaptación debe incluir validación local.</w:t>
      </w:r>
    </w:p>
    <w:p>
      <w:pPr>
        <w:spacing w:line="276" w:lineRule="auto" w:after="120"/>
        <w:jc w:val="both"/>
      </w:pPr>
      <w:r>
        <w:rPr>
          <w:rFonts w:ascii="Arial" w:hAnsi="Arial"/>
          <w:sz w:val="22"/>
        </w:rPr>
        <w:t>Otra observación es que algunos estudios priorizan el rendimiento técnico del modelo y dejan en segundo plano la estrategia de intervención. Para una tesis aplicada, es recomendable que el modelo no solo entregue una etiqueta de riesgo, sino que también permita interpretar los factores asociados y apoyar decisiones de acompañamiento académico.</w:t>
      </w:r>
    </w:p>
    <w:p>
      <w:pPr>
        <w:spacing w:line="276" w:lineRule="auto" w:after="120"/>
        <w:jc w:val="both"/>
      </w:pPr>
      <w:r>
        <w:rPr>
          <w:rFonts w:ascii="Arial" w:hAnsi="Arial"/>
          <w:sz w:val="22"/>
        </w:rPr>
        <w:t>El aporte propio para la investigación consiste en tomar estas evidencias como base para diseñar un modelo predictivo con variables alineadas al contexto de Blenkir Huancayo, manteniendo la variable independiente como modelo predictivo basado en ensemble learning y fusión de datos académicos-LMS, y la variable dependiente como riesgo de deserción estudiantil.</w:t>
      </w:r>
    </w:p>
    <w:p>
      <w:r>
        <w:br w:type="page"/>
      </w:r>
    </w:p>
    <w:p>
      <w:pPr>
        <w:jc w:val="center"/>
      </w:pPr>
      <w:r>
        <w:rPr>
          <w:b/>
          <w:sz w:val="24"/>
        </w:rPr>
        <w:t>MATRIZ DE OPERACIONALIZACIÓN DE VARIABLES</w:t>
      </w:r>
    </w:p>
    <w:p>
      <w:pPr>
        <w:jc w:val="center"/>
      </w:pPr>
      <w:r>
        <w:rPr>
          <w:b/>
          <w:sz w:val="20"/>
        </w:rPr>
        <w:t>Variable X: Modelo predictivo basado en técnicas de ensemble learning y fusión de datos académicos y comportamiento en LMS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D9D9"/>
          </w:tcPr>
          <w:p>
            <w:pPr>
              <w:jc w:val="center"/>
            </w:pPr>
            <w:r>
              <w:rPr>
                <w:rFonts w:ascii="Arial" w:hAnsi="Arial"/>
                <w:sz w:val="16"/>
              </w:rPr>
            </w:r>
            <w:r>
              <w:rPr>
                <w:rFonts w:ascii="Arial" w:hAnsi="Arial"/>
                <w:b/>
                <w:sz w:val="16"/>
              </w:rPr>
              <w:t>Variables</w:t>
            </w:r>
          </w:p>
        </w:tc>
        <w:tc>
          <w:tcPr>
            <w:tcW w:type="dxa" w:w="1680"/>
            <w:vAlign w:val="center"/>
            <w:shd w:fill="D9D9D9"/>
          </w:tcPr>
          <w:p>
            <w:pPr>
              <w:jc w:val="center"/>
            </w:pPr>
            <w:r>
              <w:rPr>
                <w:rFonts w:ascii="Arial" w:hAnsi="Arial"/>
                <w:sz w:val="16"/>
              </w:rPr>
            </w:r>
            <w:r>
              <w:rPr>
                <w:rFonts w:ascii="Arial" w:hAnsi="Arial"/>
                <w:b/>
                <w:sz w:val="16"/>
              </w:rPr>
              <w:t>Dimensiones</w:t>
            </w:r>
          </w:p>
        </w:tc>
        <w:tc>
          <w:tcPr>
            <w:tcW w:type="dxa" w:w="1680"/>
            <w:vAlign w:val="center"/>
            <w:shd w:fill="D9D9D9"/>
          </w:tcPr>
          <w:p>
            <w:pPr>
              <w:jc w:val="center"/>
            </w:pPr>
            <w:r>
              <w:rPr>
                <w:rFonts w:ascii="Arial" w:hAnsi="Arial"/>
                <w:sz w:val="16"/>
              </w:rPr>
            </w:r>
            <w:r>
              <w:rPr>
                <w:rFonts w:ascii="Arial" w:hAnsi="Arial"/>
                <w:b/>
                <w:sz w:val="16"/>
              </w:rPr>
              <w:t>Indicadores</w:t>
            </w:r>
          </w:p>
        </w:tc>
        <w:tc>
          <w:tcPr>
            <w:tcW w:type="dxa" w:w="1680"/>
            <w:vAlign w:val="center"/>
            <w:shd w:fill="D9D9D9"/>
          </w:tcPr>
          <w:p>
            <w:pPr>
              <w:jc w:val="center"/>
            </w:pPr>
            <w:r>
              <w:rPr>
                <w:rFonts w:ascii="Arial" w:hAnsi="Arial"/>
                <w:sz w:val="16"/>
              </w:rPr>
            </w:r>
            <w:r>
              <w:rPr>
                <w:rFonts w:ascii="Arial" w:hAnsi="Arial"/>
                <w:b/>
                <w:sz w:val="16"/>
              </w:rPr>
              <w:t>Ítems de medición</w:t>
            </w:r>
          </w:p>
        </w:tc>
        <w:tc>
          <w:tcPr>
            <w:tcW w:type="dxa" w:w="1680"/>
            <w:vAlign w:val="center"/>
            <w:shd w:fill="D9D9D9"/>
          </w:tcPr>
          <w:p>
            <w:pPr>
              <w:jc w:val="center"/>
            </w:pPr>
            <w:r>
              <w:rPr>
                <w:rFonts w:ascii="Arial" w:hAnsi="Arial"/>
                <w:sz w:val="16"/>
              </w:rPr>
            </w:r>
            <w:r>
              <w:rPr>
                <w:rFonts w:ascii="Arial" w:hAnsi="Arial"/>
                <w:b/>
                <w:sz w:val="16"/>
              </w:rPr>
              <w:t>Método de recolección</w:t>
            </w:r>
          </w:p>
        </w:tc>
        <w:tc>
          <w:tcPr>
            <w:tcW w:type="dxa" w:w="1680"/>
            <w:vAlign w:val="center"/>
            <w:shd w:fill="D9D9D9"/>
          </w:tcPr>
          <w:p>
            <w:pPr>
              <w:jc w:val="center"/>
            </w:pPr>
            <w:r>
              <w:rPr>
                <w:rFonts w:ascii="Arial" w:hAnsi="Arial"/>
                <w:sz w:val="16"/>
              </w:rPr>
            </w:r>
            <w:r>
              <w:rPr>
                <w:rFonts w:ascii="Arial" w:hAnsi="Arial"/>
                <w:b/>
                <w:sz w:val="16"/>
              </w:rPr>
              <w:t>Escala de medición</w:t>
            </w:r>
          </w:p>
        </w:tc>
      </w:tr>
      <w:tr>
        <w:tc>
          <w:tcPr>
            <w:tcW w:type="dxa" w:w="1680"/>
            <w:vAlign w:val="center"/>
          </w:tcPr>
          <w:p>
            <w:pPr>
              <w:jc w:val="left"/>
            </w:pPr>
            <w:r>
              <w:rPr>
                <w:rFonts w:ascii="Arial" w:hAnsi="Arial"/>
                <w:sz w:val="16"/>
              </w:rPr>
            </w:r>
            <w:r>
              <w:rPr>
                <w:rFonts w:ascii="Arial" w:hAnsi="Arial"/>
                <w:b w:val="0"/>
                <w:sz w:val="16"/>
              </w:rPr>
              <w:t>Variable X</w:t>
            </w:r>
          </w:p>
        </w:tc>
        <w:tc>
          <w:tcPr>
            <w:tcW w:type="dxa" w:w="1680"/>
            <w:vAlign w:val="center"/>
          </w:tcPr>
          <w:p>
            <w:pPr>
              <w:jc w:val="left"/>
            </w:pPr>
            <w:r>
              <w:rPr>
                <w:rFonts w:ascii="Arial" w:hAnsi="Arial"/>
                <w:sz w:val="16"/>
              </w:rPr>
            </w:r>
            <w:r>
              <w:rPr>
                <w:rFonts w:ascii="Arial" w:hAnsi="Arial"/>
                <w:b w:val="0"/>
                <w:sz w:val="16"/>
              </w:rPr>
              <w:t>Comparación de algoritmos</w:t>
            </w:r>
          </w:p>
        </w:tc>
        <w:tc>
          <w:tcPr>
            <w:tcW w:type="dxa" w:w="1680"/>
            <w:vAlign w:val="center"/>
          </w:tcPr>
          <w:p>
            <w:pPr>
              <w:jc w:val="left"/>
            </w:pPr>
            <w:r>
              <w:rPr>
                <w:rFonts w:ascii="Arial" w:hAnsi="Arial"/>
                <w:sz w:val="16"/>
              </w:rPr>
            </w:r>
            <w:r>
              <w:rPr>
                <w:rFonts w:ascii="Arial" w:hAnsi="Arial"/>
                <w:b w:val="0"/>
                <w:sz w:val="16"/>
              </w:rPr>
              <w:t>Modelos de clasificación</w:t>
            </w:r>
          </w:p>
        </w:tc>
        <w:tc>
          <w:tcPr>
            <w:tcW w:type="dxa" w:w="1680"/>
            <w:vAlign w:val="center"/>
          </w:tcPr>
          <w:p>
            <w:pPr>
              <w:jc w:val="left"/>
            </w:pPr>
            <w:r>
              <w:rPr>
                <w:rFonts w:ascii="Arial" w:hAnsi="Arial"/>
                <w:sz w:val="16"/>
              </w:rPr>
            </w:r>
            <w:r>
              <w:rPr>
                <w:rFonts w:ascii="Arial" w:hAnsi="Arial"/>
                <w:b w:val="0"/>
                <w:sz w:val="16"/>
              </w:rPr>
              <w:t>Logistic Regression, Decision Tree, Random Forest y SVM</w:t>
            </w:r>
          </w:p>
        </w:tc>
        <w:tc>
          <w:tcPr>
            <w:tcW w:type="dxa" w:w="1680"/>
            <w:vAlign w:val="center"/>
          </w:tcPr>
          <w:p>
            <w:pPr>
              <w:jc w:val="left"/>
            </w:pPr>
            <w:r>
              <w:rPr>
                <w:rFonts w:ascii="Arial" w:hAnsi="Arial"/>
                <w:sz w:val="16"/>
              </w:rPr>
            </w:r>
            <w:r>
              <w:rPr>
                <w:rFonts w:ascii="Arial" w:hAnsi="Arial"/>
                <w:b w:val="0"/>
                <w:sz w:val="16"/>
              </w:rPr>
              <w:t>Experimento ML</w:t>
            </w:r>
          </w:p>
        </w:tc>
        <w:tc>
          <w:tcPr>
            <w:tcW w:type="dxa" w:w="1680"/>
            <w:vAlign w:val="center"/>
          </w:tcPr>
          <w:p>
            <w:pPr>
              <w:jc w:val="left"/>
            </w:pPr>
            <w:r>
              <w:rPr>
                <w:rFonts w:ascii="Arial" w:hAnsi="Arial"/>
                <w:sz w:val="16"/>
              </w:rPr>
            </w:r>
            <w:r>
              <w:rPr>
                <w:rFonts w:ascii="Arial" w:hAnsi="Arial"/>
                <w:b w:val="0"/>
                <w:sz w:val="16"/>
              </w:rPr>
              <w:t>Nominal</w:t>
            </w:r>
          </w:p>
        </w:tc>
      </w:tr>
      <w:tr>
        <w:tc>
          <w:tcPr>
            <w:tcW w:type="dxa" w:w="1680"/>
            <w:vAlign w:val="center"/>
          </w:tcPr>
          <w:p>
            <w:pPr>
              <w:jc w:val="left"/>
            </w:pPr>
            <w:r>
              <w:rPr>
                <w:rFonts w:ascii="Arial" w:hAnsi="Arial"/>
                <w:sz w:val="16"/>
              </w:rPr>
            </w:r>
            <w:r>
              <w:rPr>
                <w:rFonts w:ascii="Arial" w:hAnsi="Arial"/>
                <w:b w:val="0"/>
                <w:sz w:val="16"/>
              </w:rPr>
            </w:r>
          </w:p>
        </w:tc>
        <w:tc>
          <w:tcPr>
            <w:tcW w:type="dxa" w:w="1680"/>
            <w:vAlign w:val="center"/>
          </w:tcPr>
          <w:p>
            <w:pPr>
              <w:jc w:val="left"/>
            </w:pPr>
            <w:r>
              <w:rPr>
                <w:rFonts w:ascii="Arial" w:hAnsi="Arial"/>
                <w:sz w:val="16"/>
              </w:rPr>
            </w:r>
            <w:r>
              <w:rPr>
                <w:rFonts w:ascii="Arial" w:hAnsi="Arial"/>
                <w:b w:val="0"/>
                <w:sz w:val="16"/>
              </w:rPr>
              <w:t>Validación del modelo</w:t>
            </w:r>
          </w:p>
        </w:tc>
        <w:tc>
          <w:tcPr>
            <w:tcW w:type="dxa" w:w="1680"/>
            <w:vAlign w:val="center"/>
          </w:tcPr>
          <w:p>
            <w:pPr>
              <w:jc w:val="left"/>
            </w:pPr>
            <w:r>
              <w:rPr>
                <w:rFonts w:ascii="Arial" w:hAnsi="Arial"/>
                <w:sz w:val="16"/>
              </w:rPr>
            </w:r>
            <w:r>
              <w:rPr>
                <w:rFonts w:ascii="Arial" w:hAnsi="Arial"/>
                <w:b w:val="0"/>
                <w:sz w:val="16"/>
              </w:rPr>
              <w:t>Validación cruzada 5x3</w:t>
            </w:r>
          </w:p>
        </w:tc>
        <w:tc>
          <w:tcPr>
            <w:tcW w:type="dxa" w:w="1680"/>
            <w:vAlign w:val="center"/>
          </w:tcPr>
          <w:p>
            <w:pPr>
              <w:jc w:val="left"/>
            </w:pPr>
            <w:r>
              <w:rPr>
                <w:rFonts w:ascii="Arial" w:hAnsi="Arial"/>
                <w:sz w:val="16"/>
              </w:rPr>
            </w:r>
            <w:r>
              <w:rPr>
                <w:rFonts w:ascii="Arial" w:hAnsi="Arial"/>
                <w:b w:val="0"/>
                <w:sz w:val="16"/>
              </w:rPr>
              <w:t>Particiones estratificadas y estabilidad del resultado</w:t>
            </w:r>
          </w:p>
        </w:tc>
        <w:tc>
          <w:tcPr>
            <w:tcW w:type="dxa" w:w="1680"/>
            <w:vAlign w:val="center"/>
          </w:tcPr>
          <w:p>
            <w:pPr>
              <w:jc w:val="left"/>
            </w:pPr>
            <w:r>
              <w:rPr>
                <w:rFonts w:ascii="Arial" w:hAnsi="Arial"/>
                <w:sz w:val="16"/>
              </w:rPr>
            </w:r>
            <w:r>
              <w:rPr>
                <w:rFonts w:ascii="Arial" w:hAnsi="Arial"/>
                <w:b w:val="0"/>
                <w:sz w:val="16"/>
              </w:rPr>
              <w:t>Protocolo experimental</w:t>
            </w:r>
          </w:p>
        </w:tc>
        <w:tc>
          <w:tcPr>
            <w:tcW w:type="dxa" w:w="1680"/>
            <w:vAlign w:val="center"/>
          </w:tcPr>
          <w:p>
            <w:pPr>
              <w:jc w:val="left"/>
            </w:pPr>
            <w:r>
              <w:rPr>
                <w:rFonts w:ascii="Arial" w:hAnsi="Arial"/>
                <w:sz w:val="16"/>
              </w:rPr>
            </w:r>
            <w:r>
              <w:rPr>
                <w:rFonts w:ascii="Arial" w:hAnsi="Arial"/>
                <w:b w:val="0"/>
                <w:sz w:val="16"/>
              </w:rPr>
              <w:t>Nominal</w:t>
            </w:r>
          </w:p>
        </w:tc>
      </w:tr>
      <w:tr>
        <w:tc>
          <w:tcPr>
            <w:tcW w:type="dxa" w:w="1680"/>
            <w:vAlign w:val="center"/>
          </w:tcPr>
          <w:p>
            <w:pPr>
              <w:jc w:val="left"/>
            </w:pPr>
            <w:r>
              <w:rPr>
                <w:rFonts w:ascii="Arial" w:hAnsi="Arial"/>
                <w:sz w:val="16"/>
              </w:rPr>
            </w:r>
            <w:r>
              <w:rPr>
                <w:rFonts w:ascii="Arial" w:hAnsi="Arial"/>
                <w:b w:val="0"/>
                <w:sz w:val="16"/>
              </w:rPr>
            </w:r>
          </w:p>
        </w:tc>
        <w:tc>
          <w:tcPr>
            <w:tcW w:type="dxa" w:w="1680"/>
            <w:vAlign w:val="center"/>
          </w:tcPr>
          <w:p>
            <w:pPr>
              <w:jc w:val="left"/>
            </w:pPr>
            <w:r>
              <w:rPr>
                <w:rFonts w:ascii="Arial" w:hAnsi="Arial"/>
                <w:sz w:val="16"/>
              </w:rPr>
            </w:r>
            <w:r>
              <w:rPr>
                <w:rFonts w:ascii="Arial" w:hAnsi="Arial"/>
                <w:b w:val="0"/>
                <w:sz w:val="16"/>
              </w:rPr>
              <w:t>Importancia de características</w:t>
            </w:r>
          </w:p>
        </w:tc>
        <w:tc>
          <w:tcPr>
            <w:tcW w:type="dxa" w:w="1680"/>
            <w:vAlign w:val="center"/>
          </w:tcPr>
          <w:p>
            <w:pPr>
              <w:jc w:val="left"/>
            </w:pPr>
            <w:r>
              <w:rPr>
                <w:rFonts w:ascii="Arial" w:hAnsi="Arial"/>
                <w:sz w:val="16"/>
              </w:rPr>
            </w:r>
            <w:r>
              <w:rPr>
                <w:rFonts w:ascii="Arial" w:hAnsi="Arial"/>
                <w:b w:val="0"/>
                <w:sz w:val="16"/>
              </w:rPr>
              <w:t>Variables conductuales</w:t>
            </w:r>
          </w:p>
        </w:tc>
        <w:tc>
          <w:tcPr>
            <w:tcW w:type="dxa" w:w="1680"/>
            <w:vAlign w:val="center"/>
          </w:tcPr>
          <w:p>
            <w:pPr>
              <w:jc w:val="left"/>
            </w:pPr>
            <w:r>
              <w:rPr>
                <w:rFonts w:ascii="Arial" w:hAnsi="Arial"/>
                <w:sz w:val="16"/>
              </w:rPr>
            </w:r>
            <w:r>
              <w:rPr>
                <w:rFonts w:ascii="Arial" w:hAnsi="Arial"/>
                <w:b w:val="0"/>
                <w:sz w:val="16"/>
              </w:rPr>
              <w:t>Participación, comportamiento y desempeño</w:t>
            </w:r>
          </w:p>
        </w:tc>
        <w:tc>
          <w:tcPr>
            <w:tcW w:type="dxa" w:w="1680"/>
            <w:vAlign w:val="center"/>
          </w:tcPr>
          <w:p>
            <w:pPr>
              <w:jc w:val="left"/>
            </w:pPr>
            <w:r>
              <w:rPr>
                <w:rFonts w:ascii="Arial" w:hAnsi="Arial"/>
                <w:sz w:val="16"/>
              </w:rPr>
            </w:r>
            <w:r>
              <w:rPr>
                <w:rFonts w:ascii="Arial" w:hAnsi="Arial"/>
                <w:b w:val="0"/>
                <w:sz w:val="16"/>
              </w:rPr>
              <w:t>Análisis de features</w:t>
            </w:r>
          </w:p>
        </w:tc>
        <w:tc>
          <w:tcPr>
            <w:tcW w:type="dxa" w:w="1680"/>
            <w:vAlign w:val="center"/>
          </w:tcPr>
          <w:p>
            <w:pPr>
              <w:jc w:val="left"/>
            </w:pPr>
            <w:r>
              <w:rPr>
                <w:rFonts w:ascii="Arial" w:hAnsi="Arial"/>
                <w:sz w:val="16"/>
              </w:rPr>
            </w:r>
            <w:r>
              <w:rPr>
                <w:rFonts w:ascii="Arial" w:hAnsi="Arial"/>
                <w:b w:val="0"/>
                <w:sz w:val="16"/>
              </w:rPr>
              <w:t>Ordinal / razón</w:t>
            </w:r>
          </w:p>
        </w:tc>
      </w:tr>
    </w:tbl>
    <w:p/>
    <w:p>
      <w:pPr>
        <w:jc w:val="center"/>
      </w:pPr>
      <w:r>
        <w:rPr>
          <w:b/>
          <w:sz w:val="20"/>
        </w:rPr>
        <w:t>Variable Y: Riesgo de deserción estudiantil</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D9D9"/>
          </w:tcPr>
          <w:p>
            <w:pPr>
              <w:jc w:val="center"/>
            </w:pPr>
            <w:r>
              <w:rPr>
                <w:rFonts w:ascii="Arial" w:hAnsi="Arial"/>
                <w:sz w:val="16"/>
              </w:rPr>
            </w:r>
            <w:r>
              <w:rPr>
                <w:rFonts w:ascii="Arial" w:hAnsi="Arial"/>
                <w:b/>
                <w:sz w:val="16"/>
              </w:rPr>
              <w:t>Variables</w:t>
            </w:r>
          </w:p>
        </w:tc>
        <w:tc>
          <w:tcPr>
            <w:tcW w:type="dxa" w:w="1680"/>
            <w:vAlign w:val="center"/>
            <w:shd w:fill="D9D9D9"/>
          </w:tcPr>
          <w:p>
            <w:pPr>
              <w:jc w:val="center"/>
            </w:pPr>
            <w:r>
              <w:rPr>
                <w:rFonts w:ascii="Arial" w:hAnsi="Arial"/>
                <w:sz w:val="16"/>
              </w:rPr>
            </w:r>
            <w:r>
              <w:rPr>
                <w:rFonts w:ascii="Arial" w:hAnsi="Arial"/>
                <w:b/>
                <w:sz w:val="16"/>
              </w:rPr>
              <w:t>Dimensiones</w:t>
            </w:r>
          </w:p>
        </w:tc>
        <w:tc>
          <w:tcPr>
            <w:tcW w:type="dxa" w:w="1680"/>
            <w:vAlign w:val="center"/>
            <w:shd w:fill="D9D9D9"/>
          </w:tcPr>
          <w:p>
            <w:pPr>
              <w:jc w:val="center"/>
            </w:pPr>
            <w:r>
              <w:rPr>
                <w:rFonts w:ascii="Arial" w:hAnsi="Arial"/>
                <w:sz w:val="16"/>
              </w:rPr>
            </w:r>
            <w:r>
              <w:rPr>
                <w:rFonts w:ascii="Arial" w:hAnsi="Arial"/>
                <w:b/>
                <w:sz w:val="16"/>
              </w:rPr>
              <w:t>Indicadores</w:t>
            </w:r>
          </w:p>
        </w:tc>
        <w:tc>
          <w:tcPr>
            <w:tcW w:type="dxa" w:w="1680"/>
            <w:vAlign w:val="center"/>
            <w:shd w:fill="D9D9D9"/>
          </w:tcPr>
          <w:p>
            <w:pPr>
              <w:jc w:val="center"/>
            </w:pPr>
            <w:r>
              <w:rPr>
                <w:rFonts w:ascii="Arial" w:hAnsi="Arial"/>
                <w:sz w:val="16"/>
              </w:rPr>
            </w:r>
            <w:r>
              <w:rPr>
                <w:rFonts w:ascii="Arial" w:hAnsi="Arial"/>
                <w:b/>
                <w:sz w:val="16"/>
              </w:rPr>
              <w:t>Ítems de medición</w:t>
            </w:r>
          </w:p>
        </w:tc>
        <w:tc>
          <w:tcPr>
            <w:tcW w:type="dxa" w:w="1680"/>
            <w:vAlign w:val="center"/>
            <w:shd w:fill="D9D9D9"/>
          </w:tcPr>
          <w:p>
            <w:pPr>
              <w:jc w:val="center"/>
            </w:pPr>
            <w:r>
              <w:rPr>
                <w:rFonts w:ascii="Arial" w:hAnsi="Arial"/>
                <w:sz w:val="16"/>
              </w:rPr>
            </w:r>
            <w:r>
              <w:rPr>
                <w:rFonts w:ascii="Arial" w:hAnsi="Arial"/>
                <w:b/>
                <w:sz w:val="16"/>
              </w:rPr>
              <w:t>Método de recolección</w:t>
            </w:r>
          </w:p>
        </w:tc>
        <w:tc>
          <w:tcPr>
            <w:tcW w:type="dxa" w:w="1680"/>
            <w:vAlign w:val="center"/>
            <w:shd w:fill="D9D9D9"/>
          </w:tcPr>
          <w:p>
            <w:pPr>
              <w:jc w:val="center"/>
            </w:pPr>
            <w:r>
              <w:rPr>
                <w:rFonts w:ascii="Arial" w:hAnsi="Arial"/>
                <w:sz w:val="16"/>
              </w:rPr>
            </w:r>
            <w:r>
              <w:rPr>
                <w:rFonts w:ascii="Arial" w:hAnsi="Arial"/>
                <w:b/>
                <w:sz w:val="16"/>
              </w:rPr>
              <w:t>Escala de medición</w:t>
            </w:r>
          </w:p>
        </w:tc>
      </w:tr>
      <w:tr>
        <w:tc>
          <w:tcPr>
            <w:tcW w:type="dxa" w:w="1680"/>
            <w:vAlign w:val="center"/>
          </w:tcPr>
          <w:p>
            <w:pPr>
              <w:jc w:val="left"/>
            </w:pPr>
            <w:r>
              <w:rPr>
                <w:rFonts w:ascii="Arial" w:hAnsi="Arial"/>
                <w:sz w:val="16"/>
              </w:rPr>
            </w:r>
            <w:r>
              <w:rPr>
                <w:rFonts w:ascii="Arial" w:hAnsi="Arial"/>
                <w:b w:val="0"/>
                <w:sz w:val="16"/>
              </w:rPr>
              <w:t>Variable Y</w:t>
            </w:r>
          </w:p>
        </w:tc>
        <w:tc>
          <w:tcPr>
            <w:tcW w:type="dxa" w:w="1680"/>
            <w:vAlign w:val="center"/>
          </w:tcPr>
          <w:p>
            <w:pPr>
              <w:jc w:val="left"/>
            </w:pPr>
            <w:r>
              <w:rPr>
                <w:rFonts w:ascii="Arial" w:hAnsi="Arial"/>
                <w:sz w:val="16"/>
              </w:rPr>
            </w:r>
            <w:r>
              <w:rPr>
                <w:rFonts w:ascii="Arial" w:hAnsi="Arial"/>
                <w:b w:val="0"/>
                <w:sz w:val="16"/>
              </w:rPr>
              <w:t>Abandono estudiantil</w:t>
            </w:r>
          </w:p>
        </w:tc>
        <w:tc>
          <w:tcPr>
            <w:tcW w:type="dxa" w:w="1680"/>
            <w:vAlign w:val="center"/>
          </w:tcPr>
          <w:p>
            <w:pPr>
              <w:jc w:val="left"/>
            </w:pPr>
            <w:r>
              <w:rPr>
                <w:rFonts w:ascii="Arial" w:hAnsi="Arial"/>
                <w:sz w:val="16"/>
              </w:rPr>
            </w:r>
            <w:r>
              <w:rPr>
                <w:rFonts w:ascii="Arial" w:hAnsi="Arial"/>
                <w:b w:val="0"/>
                <w:sz w:val="16"/>
              </w:rPr>
              <w:t>Clasificación dropout</w:t>
            </w:r>
          </w:p>
        </w:tc>
        <w:tc>
          <w:tcPr>
            <w:tcW w:type="dxa" w:w="1680"/>
            <w:vAlign w:val="center"/>
          </w:tcPr>
          <w:p>
            <w:pPr>
              <w:jc w:val="left"/>
            </w:pPr>
            <w:r>
              <w:rPr>
                <w:rFonts w:ascii="Arial" w:hAnsi="Arial"/>
                <w:sz w:val="16"/>
              </w:rPr>
            </w:r>
            <w:r>
              <w:rPr>
                <w:rFonts w:ascii="Arial" w:hAnsi="Arial"/>
                <w:b w:val="0"/>
                <w:sz w:val="16"/>
              </w:rPr>
              <w:t>Abandona/no abandona</w:t>
            </w:r>
          </w:p>
        </w:tc>
        <w:tc>
          <w:tcPr>
            <w:tcW w:type="dxa" w:w="1680"/>
            <w:vAlign w:val="center"/>
          </w:tcPr>
          <w:p>
            <w:pPr>
              <w:jc w:val="left"/>
            </w:pPr>
            <w:r>
              <w:rPr>
                <w:rFonts w:ascii="Arial" w:hAnsi="Arial"/>
                <w:sz w:val="16"/>
              </w:rPr>
            </w:r>
            <w:r>
              <w:rPr>
                <w:rFonts w:ascii="Arial" w:hAnsi="Arial"/>
                <w:b w:val="0"/>
                <w:sz w:val="16"/>
              </w:rPr>
              <w:t>Modelo predictivo</w:t>
            </w:r>
          </w:p>
        </w:tc>
        <w:tc>
          <w:tcPr>
            <w:tcW w:type="dxa" w:w="1680"/>
            <w:vAlign w:val="center"/>
          </w:tcPr>
          <w:p>
            <w:pPr>
              <w:jc w:val="left"/>
            </w:pPr>
            <w:r>
              <w:rPr>
                <w:rFonts w:ascii="Arial" w:hAnsi="Arial"/>
                <w:sz w:val="16"/>
              </w:rPr>
            </w:r>
            <w:r>
              <w:rPr>
                <w:rFonts w:ascii="Arial" w:hAnsi="Arial"/>
                <w:b w:val="0"/>
                <w:sz w:val="16"/>
              </w:rPr>
              <w:t>Nominal</w:t>
            </w:r>
          </w:p>
        </w:tc>
      </w:tr>
      <w:tr>
        <w:tc>
          <w:tcPr>
            <w:tcW w:type="dxa" w:w="1680"/>
            <w:vAlign w:val="center"/>
          </w:tcPr>
          <w:p>
            <w:pPr>
              <w:jc w:val="left"/>
            </w:pPr>
            <w:r>
              <w:rPr>
                <w:rFonts w:ascii="Arial" w:hAnsi="Arial"/>
                <w:sz w:val="16"/>
              </w:rPr>
            </w:r>
            <w:r>
              <w:rPr>
                <w:rFonts w:ascii="Arial" w:hAnsi="Arial"/>
                <w:b w:val="0"/>
                <w:sz w:val="16"/>
              </w:rPr>
            </w:r>
          </w:p>
        </w:tc>
        <w:tc>
          <w:tcPr>
            <w:tcW w:type="dxa" w:w="1680"/>
            <w:vAlign w:val="center"/>
          </w:tcPr>
          <w:p>
            <w:pPr>
              <w:jc w:val="left"/>
            </w:pPr>
            <w:r>
              <w:rPr>
                <w:rFonts w:ascii="Arial" w:hAnsi="Arial"/>
                <w:sz w:val="16"/>
              </w:rPr>
            </w:r>
            <w:r>
              <w:rPr>
                <w:rFonts w:ascii="Arial" w:hAnsi="Arial"/>
                <w:b w:val="0"/>
                <w:sz w:val="16"/>
              </w:rPr>
              <w:t>Compromiso académico</w:t>
            </w:r>
          </w:p>
        </w:tc>
        <w:tc>
          <w:tcPr>
            <w:tcW w:type="dxa" w:w="1680"/>
            <w:vAlign w:val="center"/>
          </w:tcPr>
          <w:p>
            <w:pPr>
              <w:jc w:val="left"/>
            </w:pPr>
            <w:r>
              <w:rPr>
                <w:rFonts w:ascii="Arial" w:hAnsi="Arial"/>
                <w:sz w:val="16"/>
              </w:rPr>
            </w:r>
            <w:r>
              <w:rPr>
                <w:rFonts w:ascii="Arial" w:hAnsi="Arial"/>
                <w:b w:val="0"/>
                <w:sz w:val="16"/>
              </w:rPr>
              <w:t>Participación del estudiante</w:t>
            </w:r>
          </w:p>
        </w:tc>
        <w:tc>
          <w:tcPr>
            <w:tcW w:type="dxa" w:w="1680"/>
            <w:vAlign w:val="center"/>
          </w:tcPr>
          <w:p>
            <w:pPr>
              <w:jc w:val="left"/>
            </w:pPr>
            <w:r>
              <w:rPr>
                <w:rFonts w:ascii="Arial" w:hAnsi="Arial"/>
                <w:sz w:val="16"/>
              </w:rPr>
            </w:r>
            <w:r>
              <w:rPr>
                <w:rFonts w:ascii="Arial" w:hAnsi="Arial"/>
                <w:b w:val="0"/>
                <w:sz w:val="16"/>
              </w:rPr>
              <w:t>Asistencia, interacción y cumplimiento</w:t>
            </w:r>
          </w:p>
        </w:tc>
        <w:tc>
          <w:tcPr>
            <w:tcW w:type="dxa" w:w="1680"/>
            <w:vAlign w:val="center"/>
          </w:tcPr>
          <w:p>
            <w:pPr>
              <w:jc w:val="left"/>
            </w:pPr>
            <w:r>
              <w:rPr>
                <w:rFonts w:ascii="Arial" w:hAnsi="Arial"/>
                <w:sz w:val="16"/>
              </w:rPr>
            </w:r>
            <w:r>
              <w:rPr>
                <w:rFonts w:ascii="Arial" w:hAnsi="Arial"/>
                <w:b w:val="0"/>
                <w:sz w:val="16"/>
              </w:rPr>
              <w:t>Registro académico/LMS</w:t>
            </w:r>
          </w:p>
        </w:tc>
        <w:tc>
          <w:tcPr>
            <w:tcW w:type="dxa" w:w="1680"/>
            <w:vAlign w:val="center"/>
          </w:tcPr>
          <w:p>
            <w:pPr>
              <w:jc w:val="left"/>
            </w:pPr>
            <w:r>
              <w:rPr>
                <w:rFonts w:ascii="Arial" w:hAnsi="Arial"/>
                <w:sz w:val="16"/>
              </w:rPr>
            </w:r>
            <w:r>
              <w:rPr>
                <w:rFonts w:ascii="Arial" w:hAnsi="Arial"/>
                <w:b w:val="0"/>
                <w:sz w:val="16"/>
              </w:rPr>
              <w:t>Razón</w:t>
            </w:r>
          </w:p>
        </w:tc>
      </w:tr>
      <w:tr>
        <w:tc>
          <w:tcPr>
            <w:tcW w:type="dxa" w:w="1680"/>
            <w:vAlign w:val="center"/>
          </w:tcPr>
          <w:p>
            <w:pPr>
              <w:jc w:val="left"/>
            </w:pPr>
            <w:r>
              <w:rPr>
                <w:rFonts w:ascii="Arial" w:hAnsi="Arial"/>
                <w:sz w:val="16"/>
              </w:rPr>
            </w:r>
            <w:r>
              <w:rPr>
                <w:rFonts w:ascii="Arial" w:hAnsi="Arial"/>
                <w:b w:val="0"/>
                <w:sz w:val="16"/>
              </w:rPr>
            </w:r>
          </w:p>
        </w:tc>
        <w:tc>
          <w:tcPr>
            <w:tcW w:type="dxa" w:w="1680"/>
            <w:vAlign w:val="center"/>
          </w:tcPr>
          <w:p>
            <w:pPr>
              <w:jc w:val="left"/>
            </w:pPr>
            <w:r>
              <w:rPr>
                <w:rFonts w:ascii="Arial" w:hAnsi="Arial"/>
                <w:sz w:val="16"/>
              </w:rPr>
            </w:r>
            <w:r>
              <w:rPr>
                <w:rFonts w:ascii="Arial" w:hAnsi="Arial"/>
                <w:b w:val="0"/>
                <w:sz w:val="16"/>
              </w:rPr>
              <w:t>Desempeño predictivo</w:t>
            </w:r>
          </w:p>
        </w:tc>
        <w:tc>
          <w:tcPr>
            <w:tcW w:type="dxa" w:w="1680"/>
            <w:vAlign w:val="center"/>
          </w:tcPr>
          <w:p>
            <w:pPr>
              <w:jc w:val="left"/>
            </w:pPr>
            <w:r>
              <w:rPr>
                <w:rFonts w:ascii="Arial" w:hAnsi="Arial"/>
                <w:sz w:val="16"/>
              </w:rPr>
            </w:r>
            <w:r>
              <w:rPr>
                <w:rFonts w:ascii="Arial" w:hAnsi="Arial"/>
                <w:b w:val="0"/>
                <w:sz w:val="16"/>
              </w:rPr>
              <w:t>Nivel de riesgo</w:t>
            </w:r>
          </w:p>
        </w:tc>
        <w:tc>
          <w:tcPr>
            <w:tcW w:type="dxa" w:w="1680"/>
            <w:vAlign w:val="center"/>
          </w:tcPr>
          <w:p>
            <w:pPr>
              <w:jc w:val="left"/>
            </w:pPr>
            <w:r>
              <w:rPr>
                <w:rFonts w:ascii="Arial" w:hAnsi="Arial"/>
                <w:sz w:val="16"/>
              </w:rPr>
            </w:r>
            <w:r>
              <w:rPr>
                <w:rFonts w:ascii="Arial" w:hAnsi="Arial"/>
                <w:b w:val="0"/>
                <w:sz w:val="16"/>
              </w:rPr>
              <w:t>F1-score, ROC-AUC y accuracy</w:t>
            </w:r>
          </w:p>
        </w:tc>
        <w:tc>
          <w:tcPr>
            <w:tcW w:type="dxa" w:w="1680"/>
            <w:vAlign w:val="center"/>
          </w:tcPr>
          <w:p>
            <w:pPr>
              <w:jc w:val="left"/>
            </w:pPr>
            <w:r>
              <w:rPr>
                <w:rFonts w:ascii="Arial" w:hAnsi="Arial"/>
                <w:sz w:val="16"/>
              </w:rPr>
            </w:r>
            <w:r>
              <w:rPr>
                <w:rFonts w:ascii="Arial" w:hAnsi="Arial"/>
                <w:b w:val="0"/>
                <w:sz w:val="16"/>
              </w:rPr>
              <w:t>Evaluación experimental</w:t>
            </w:r>
          </w:p>
        </w:tc>
        <w:tc>
          <w:tcPr>
            <w:tcW w:type="dxa" w:w="1680"/>
            <w:vAlign w:val="center"/>
          </w:tcPr>
          <w:p>
            <w:pPr>
              <w:jc w:val="left"/>
            </w:pPr>
            <w:r>
              <w:rPr>
                <w:rFonts w:ascii="Arial" w:hAnsi="Arial"/>
                <w:sz w:val="16"/>
              </w:rPr>
            </w:r>
            <w:r>
              <w:rPr>
                <w:rFonts w:ascii="Arial" w:hAnsi="Arial"/>
                <w:b w:val="0"/>
                <w:sz w:val="16"/>
              </w:rPr>
              <w:t>Razón</w:t>
            </w:r>
          </w:p>
        </w:tc>
      </w:tr>
    </w:tbl>
    <w:p/>
    <w:p>
      <w:r>
        <w:rPr>
          <w:b/>
        </w:rPr>
        <w:t xml:space="preserve">Referencia del artículo: </w:t>
      </w:r>
      <w:r>
        <w:t>Neha Karade; Manisha Patil; Dhruvi Jariwala. Predicting Student Dropout Rates Using Machine Learning Techniques. International Journal of Scientific and Research Publications, 16(2), 179-187 (2026).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