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23</w:t>
      </w:r>
    </w:p>
    <w:p>
      <w:r>
        <w:rPr>
          <w:b/>
          <w:sz w:val="22"/>
        </w:rPr>
        <w:t xml:space="preserve">Author(s): </w:t>
      </w:r>
      <w:r>
        <w:t>Harish Reddy Morsu</w:t>
      </w:r>
    </w:p>
    <w:p>
      <w:r>
        <w:rPr>
          <w:b/>
          <w:sz w:val="22"/>
        </w:rPr>
        <w:t xml:space="preserve">Title of paper: </w:t>
      </w:r>
      <w:r>
        <w:t>Machine Learning Models for Predicting Student Dropout, Enrollment, and Graduation</w:t>
      </w:r>
    </w:p>
    <w:p>
      <w:r>
        <w:rPr>
          <w:b/>
          <w:sz w:val="22"/>
        </w:rPr>
        <w:t xml:space="preserve">Journal: </w:t>
      </w:r>
      <w:r>
        <w:t>Preprints.org</w:t>
      </w:r>
    </w:p>
    <w:p>
      <w:r>
        <w:rPr>
          <w:b/>
          <w:sz w:val="22"/>
        </w:rPr>
        <w:t xml:space="preserve">Volume (issue): </w:t>
      </w:r>
      <w:r>
        <w:t>202512.0166.v1</w:t>
      </w:r>
    </w:p>
    <w:p>
      <w:r>
        <w:rPr>
          <w:b/>
          <w:sz w:val="22"/>
        </w:rPr>
        <w:t xml:space="preserve">pag - pag (year): </w:t>
      </w:r>
      <w:r>
        <w:t>1-21 (2025)</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plantea predicción multiclase para abandono, continuidad de matrícula y graduación usando variables disponibles al ingreso.</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regresión logística multinomial, Random Forest y XGBoost con variables demográficas, preparación académica, programa y finanzas.</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regresión logística multinomial, Random Forest y XGBoost con variables demográficas, preparación académica, programa y finanzas.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regresión logística multinomial, Random Forest y XGBoost con variables demográficas, preparación académica, programa y finanzas.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evalúa tres resultados estudiantiles y compara modelos interpretables y de ensamble; se resalta el uso de información temprana para alerta institucional.</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Datos de entrada al ingreso</w:t>
            </w:r>
          </w:p>
        </w:tc>
        <w:tc>
          <w:tcPr>
            <w:tcW w:type="dxa" w:w="1680"/>
            <w:vAlign w:val="center"/>
          </w:tcPr>
          <w:p>
            <w:pPr>
              <w:jc w:val="left"/>
            </w:pPr>
            <w:r>
              <w:rPr>
                <w:rFonts w:ascii="Arial" w:hAnsi="Arial"/>
                <w:sz w:val="16"/>
              </w:rPr>
            </w:r>
            <w:r>
              <w:rPr>
                <w:rFonts w:ascii="Arial" w:hAnsi="Arial"/>
                <w:b w:val="0"/>
                <w:sz w:val="16"/>
              </w:rPr>
              <w:t>Variables tempranas</w:t>
            </w:r>
          </w:p>
        </w:tc>
        <w:tc>
          <w:tcPr>
            <w:tcW w:type="dxa" w:w="1680"/>
            <w:vAlign w:val="center"/>
          </w:tcPr>
          <w:p>
            <w:pPr>
              <w:jc w:val="left"/>
            </w:pPr>
            <w:r>
              <w:rPr>
                <w:rFonts w:ascii="Arial" w:hAnsi="Arial"/>
                <w:sz w:val="16"/>
              </w:rPr>
            </w:r>
            <w:r>
              <w:rPr>
                <w:rFonts w:ascii="Arial" w:hAnsi="Arial"/>
                <w:b w:val="0"/>
                <w:sz w:val="16"/>
              </w:rPr>
              <w:t>Demografía, preparación previa, programa y apoyo financiero</w:t>
            </w:r>
          </w:p>
        </w:tc>
        <w:tc>
          <w:tcPr>
            <w:tcW w:type="dxa" w:w="1680"/>
            <w:vAlign w:val="center"/>
          </w:tcPr>
          <w:p>
            <w:pPr>
              <w:jc w:val="left"/>
            </w:pPr>
            <w:r>
              <w:rPr>
                <w:rFonts w:ascii="Arial" w:hAnsi="Arial"/>
                <w:sz w:val="16"/>
              </w:rPr>
            </w:r>
            <w:r>
              <w:rPr>
                <w:rFonts w:ascii="Arial" w:hAnsi="Arial"/>
                <w:b w:val="0"/>
                <w:sz w:val="16"/>
              </w:rPr>
              <w:t>Registro de matrícula</w:t>
            </w:r>
          </w:p>
        </w:tc>
        <w:tc>
          <w:tcPr>
            <w:tcW w:type="dxa" w:w="1680"/>
            <w:vAlign w:val="center"/>
          </w:tcPr>
          <w:p>
            <w:pPr>
              <w:jc w:val="left"/>
            </w:pPr>
            <w:r>
              <w:rPr>
                <w:rFonts w:ascii="Arial" w:hAnsi="Arial"/>
                <w:sz w:val="16"/>
              </w:rPr>
            </w:r>
            <w:r>
              <w:rPr>
                <w:rFonts w:ascii="Arial" w:hAnsi="Arial"/>
                <w:b w:val="0"/>
                <w:sz w:val="16"/>
              </w:rPr>
              <w:t>Nominal / 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Modelos multiclase</w:t>
            </w:r>
          </w:p>
        </w:tc>
        <w:tc>
          <w:tcPr>
            <w:tcW w:type="dxa" w:w="1680"/>
            <w:vAlign w:val="center"/>
          </w:tcPr>
          <w:p>
            <w:pPr>
              <w:jc w:val="left"/>
            </w:pPr>
            <w:r>
              <w:rPr>
                <w:rFonts w:ascii="Arial" w:hAnsi="Arial"/>
                <w:sz w:val="16"/>
              </w:rPr>
            </w:r>
            <w:r>
              <w:rPr>
                <w:rFonts w:ascii="Arial" w:hAnsi="Arial"/>
                <w:b w:val="0"/>
                <w:sz w:val="16"/>
              </w:rPr>
              <w:t>Logistic Regression, Random Forest, XGBoost</w:t>
            </w:r>
          </w:p>
        </w:tc>
        <w:tc>
          <w:tcPr>
            <w:tcW w:type="dxa" w:w="1680"/>
            <w:vAlign w:val="center"/>
          </w:tcPr>
          <w:p>
            <w:pPr>
              <w:jc w:val="left"/>
            </w:pPr>
            <w:r>
              <w:rPr>
                <w:rFonts w:ascii="Arial" w:hAnsi="Arial"/>
                <w:sz w:val="16"/>
              </w:rPr>
            </w:r>
            <w:r>
              <w:rPr>
                <w:rFonts w:ascii="Arial" w:hAnsi="Arial"/>
                <w:b w:val="0"/>
                <w:sz w:val="16"/>
              </w:rPr>
              <w:t>Predicción de dropout, matrícula o graduación</w:t>
            </w:r>
          </w:p>
        </w:tc>
        <w:tc>
          <w:tcPr>
            <w:tcW w:type="dxa" w:w="1680"/>
            <w:vAlign w:val="center"/>
          </w:tcPr>
          <w:p>
            <w:pPr>
              <w:jc w:val="left"/>
            </w:pPr>
            <w:r>
              <w:rPr>
                <w:rFonts w:ascii="Arial" w:hAnsi="Arial"/>
                <w:sz w:val="16"/>
              </w:rPr>
            </w:r>
            <w:r>
              <w:rPr>
                <w:rFonts w:ascii="Arial" w:hAnsi="Arial"/>
                <w:b w:val="0"/>
                <w:sz w:val="16"/>
              </w:rPr>
              <w:t>Pipeline supervisado</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Sistema de alerta temprana</w:t>
            </w:r>
          </w:p>
        </w:tc>
        <w:tc>
          <w:tcPr>
            <w:tcW w:type="dxa" w:w="1680"/>
            <w:vAlign w:val="center"/>
          </w:tcPr>
          <w:p>
            <w:pPr>
              <w:jc w:val="left"/>
            </w:pPr>
            <w:r>
              <w:rPr>
                <w:rFonts w:ascii="Arial" w:hAnsi="Arial"/>
                <w:sz w:val="16"/>
              </w:rPr>
            </w:r>
            <w:r>
              <w:rPr>
                <w:rFonts w:ascii="Arial" w:hAnsi="Arial"/>
                <w:b w:val="0"/>
                <w:sz w:val="16"/>
              </w:rPr>
              <w:t>Disponibilidad inicial de datos</w:t>
            </w:r>
          </w:p>
        </w:tc>
        <w:tc>
          <w:tcPr>
            <w:tcW w:type="dxa" w:w="1680"/>
            <w:vAlign w:val="center"/>
          </w:tcPr>
          <w:p>
            <w:pPr>
              <w:jc w:val="left"/>
            </w:pPr>
            <w:r>
              <w:rPr>
                <w:rFonts w:ascii="Arial" w:hAnsi="Arial"/>
                <w:sz w:val="16"/>
              </w:rPr>
            </w:r>
            <w:r>
              <w:rPr>
                <w:rFonts w:ascii="Arial" w:hAnsi="Arial"/>
                <w:b w:val="0"/>
                <w:sz w:val="16"/>
              </w:rPr>
              <w:t>Uso de información antes de la trayectoria completa</w:t>
            </w:r>
          </w:p>
        </w:tc>
        <w:tc>
          <w:tcPr>
            <w:tcW w:type="dxa" w:w="1680"/>
            <w:vAlign w:val="center"/>
          </w:tcPr>
          <w:p>
            <w:pPr>
              <w:jc w:val="left"/>
            </w:pPr>
            <w:r>
              <w:rPr>
                <w:rFonts w:ascii="Arial" w:hAnsi="Arial"/>
                <w:sz w:val="16"/>
              </w:rPr>
            </w:r>
            <w:r>
              <w:rPr>
                <w:rFonts w:ascii="Arial" w:hAnsi="Arial"/>
                <w:b w:val="0"/>
                <w:sz w:val="16"/>
              </w:rPr>
              <w:t>Base institucional</w:t>
            </w:r>
          </w:p>
        </w:tc>
        <w:tc>
          <w:tcPr>
            <w:tcW w:type="dxa" w:w="1680"/>
            <w:vAlign w:val="center"/>
          </w:tcPr>
          <w:p>
            <w:pPr>
              <w:jc w:val="left"/>
            </w:pPr>
            <w:r>
              <w:rPr>
                <w:rFonts w:ascii="Arial" w:hAnsi="Arial"/>
                <w:sz w:val="16"/>
              </w:rPr>
            </w:r>
            <w:r>
              <w:rPr>
                <w:rFonts w:ascii="Arial" w:hAnsi="Arial"/>
                <w:b w:val="0"/>
                <w:sz w:val="16"/>
              </w:rPr>
              <w:t>Ordinal</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Trayectoria del estudiante</w:t>
            </w:r>
          </w:p>
        </w:tc>
        <w:tc>
          <w:tcPr>
            <w:tcW w:type="dxa" w:w="1680"/>
            <w:vAlign w:val="center"/>
          </w:tcPr>
          <w:p>
            <w:pPr>
              <w:jc w:val="left"/>
            </w:pPr>
            <w:r>
              <w:rPr>
                <w:rFonts w:ascii="Arial" w:hAnsi="Arial"/>
                <w:sz w:val="16"/>
              </w:rPr>
            </w:r>
            <w:r>
              <w:rPr>
                <w:rFonts w:ascii="Arial" w:hAnsi="Arial"/>
                <w:b w:val="0"/>
                <w:sz w:val="16"/>
              </w:rPr>
              <w:t>Resultado multiclase</w:t>
            </w:r>
          </w:p>
        </w:tc>
        <w:tc>
          <w:tcPr>
            <w:tcW w:type="dxa" w:w="1680"/>
            <w:vAlign w:val="center"/>
          </w:tcPr>
          <w:p>
            <w:pPr>
              <w:jc w:val="left"/>
            </w:pPr>
            <w:r>
              <w:rPr>
                <w:rFonts w:ascii="Arial" w:hAnsi="Arial"/>
                <w:sz w:val="16"/>
              </w:rPr>
            </w:r>
            <w:r>
              <w:rPr>
                <w:rFonts w:ascii="Arial" w:hAnsi="Arial"/>
                <w:b w:val="0"/>
                <w:sz w:val="16"/>
              </w:rPr>
              <w:t>Dropout, enrolled, graduated</w:t>
            </w:r>
          </w:p>
        </w:tc>
        <w:tc>
          <w:tcPr>
            <w:tcW w:type="dxa" w:w="1680"/>
            <w:vAlign w:val="center"/>
          </w:tcPr>
          <w:p>
            <w:pPr>
              <w:jc w:val="left"/>
            </w:pPr>
            <w:r>
              <w:rPr>
                <w:rFonts w:ascii="Arial" w:hAnsi="Arial"/>
                <w:sz w:val="16"/>
              </w:rPr>
            </w:r>
            <w:r>
              <w:rPr>
                <w:rFonts w:ascii="Arial" w:hAnsi="Arial"/>
                <w:b w:val="0"/>
                <w:sz w:val="16"/>
              </w:rPr>
              <w:t>Registro académico</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Riesgo institucional</w:t>
            </w:r>
          </w:p>
        </w:tc>
        <w:tc>
          <w:tcPr>
            <w:tcW w:type="dxa" w:w="1680"/>
            <w:vAlign w:val="center"/>
          </w:tcPr>
          <w:p>
            <w:pPr>
              <w:jc w:val="left"/>
            </w:pPr>
            <w:r>
              <w:rPr>
                <w:rFonts w:ascii="Arial" w:hAnsi="Arial"/>
                <w:sz w:val="16"/>
              </w:rPr>
            </w:r>
            <w:r>
              <w:rPr>
                <w:rFonts w:ascii="Arial" w:hAnsi="Arial"/>
                <w:b w:val="0"/>
                <w:sz w:val="16"/>
              </w:rPr>
              <w:t>Probabilidad de abandono</w:t>
            </w:r>
          </w:p>
        </w:tc>
        <w:tc>
          <w:tcPr>
            <w:tcW w:type="dxa" w:w="1680"/>
            <w:vAlign w:val="center"/>
          </w:tcPr>
          <w:p>
            <w:pPr>
              <w:jc w:val="left"/>
            </w:pPr>
            <w:r>
              <w:rPr>
                <w:rFonts w:ascii="Arial" w:hAnsi="Arial"/>
                <w:sz w:val="16"/>
              </w:rPr>
            </w:r>
            <w:r>
              <w:rPr>
                <w:rFonts w:ascii="Arial" w:hAnsi="Arial"/>
                <w:b w:val="0"/>
                <w:sz w:val="16"/>
              </w:rPr>
              <w:t>Score por clase y clasificación final</w:t>
            </w:r>
          </w:p>
        </w:tc>
        <w:tc>
          <w:tcPr>
            <w:tcW w:type="dxa" w:w="1680"/>
            <w:vAlign w:val="center"/>
          </w:tcPr>
          <w:p>
            <w:pPr>
              <w:jc w:val="left"/>
            </w:pPr>
            <w:r>
              <w:rPr>
                <w:rFonts w:ascii="Arial" w:hAnsi="Arial"/>
                <w:sz w:val="16"/>
              </w:rPr>
            </w:r>
            <w:r>
              <w:rPr>
                <w:rFonts w:ascii="Arial" w:hAnsi="Arial"/>
                <w:b w:val="0"/>
                <w:sz w:val="16"/>
              </w:rPr>
              <w:t>Modelo ML</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Retención académica</w:t>
            </w:r>
          </w:p>
        </w:tc>
        <w:tc>
          <w:tcPr>
            <w:tcW w:type="dxa" w:w="1680"/>
            <w:vAlign w:val="center"/>
          </w:tcPr>
          <w:p>
            <w:pPr>
              <w:jc w:val="left"/>
            </w:pPr>
            <w:r>
              <w:rPr>
                <w:rFonts w:ascii="Arial" w:hAnsi="Arial"/>
                <w:sz w:val="16"/>
              </w:rPr>
            </w:r>
            <w:r>
              <w:rPr>
                <w:rFonts w:ascii="Arial" w:hAnsi="Arial"/>
                <w:b w:val="0"/>
                <w:sz w:val="16"/>
              </w:rPr>
              <w:t>Continuidad de matrícula</w:t>
            </w:r>
          </w:p>
        </w:tc>
        <w:tc>
          <w:tcPr>
            <w:tcW w:type="dxa" w:w="1680"/>
            <w:vAlign w:val="center"/>
          </w:tcPr>
          <w:p>
            <w:pPr>
              <w:jc w:val="left"/>
            </w:pPr>
            <w:r>
              <w:rPr>
                <w:rFonts w:ascii="Arial" w:hAnsi="Arial"/>
                <w:sz w:val="16"/>
              </w:rPr>
            </w:r>
            <w:r>
              <w:rPr>
                <w:rFonts w:ascii="Arial" w:hAnsi="Arial"/>
                <w:b w:val="0"/>
                <w:sz w:val="16"/>
              </w:rPr>
              <w:t>Matrícula activa o graduación</w:t>
            </w:r>
          </w:p>
        </w:tc>
        <w:tc>
          <w:tcPr>
            <w:tcW w:type="dxa" w:w="1680"/>
            <w:vAlign w:val="center"/>
          </w:tcPr>
          <w:p>
            <w:pPr>
              <w:jc w:val="left"/>
            </w:pPr>
            <w:r>
              <w:rPr>
                <w:rFonts w:ascii="Arial" w:hAnsi="Arial"/>
                <w:sz w:val="16"/>
              </w:rPr>
            </w:r>
            <w:r>
              <w:rPr>
                <w:rFonts w:ascii="Arial" w:hAnsi="Arial"/>
                <w:b w:val="0"/>
                <w:sz w:val="16"/>
              </w:rPr>
              <w:t>Sistema académico</w:t>
            </w:r>
          </w:p>
        </w:tc>
        <w:tc>
          <w:tcPr>
            <w:tcW w:type="dxa" w:w="1680"/>
            <w:vAlign w:val="center"/>
          </w:tcPr>
          <w:p>
            <w:pPr>
              <w:jc w:val="left"/>
            </w:pPr>
            <w:r>
              <w:rPr>
                <w:rFonts w:ascii="Arial" w:hAnsi="Arial"/>
                <w:sz w:val="16"/>
              </w:rPr>
            </w:r>
            <w:r>
              <w:rPr>
                <w:rFonts w:ascii="Arial" w:hAnsi="Arial"/>
                <w:b w:val="0"/>
                <w:sz w:val="16"/>
              </w:rPr>
              <w:t>Nominal</w:t>
            </w:r>
          </w:p>
        </w:tc>
      </w:tr>
    </w:tbl>
    <w:p/>
    <w:p>
      <w:r>
        <w:rPr>
          <w:b/>
        </w:rPr>
        <w:t xml:space="preserve">Referencia del artículo: </w:t>
      </w:r>
      <w:r>
        <w:t>Harish Reddy Morsu. Machine Learning Models for Predicting Student Dropout, Enrollment, and Graduation. Preprints.org, 202512.0166.v1, 1-21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