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5F3DF9">
      <w:pPr>
        <w:pStyle w:val="33"/>
        <w:spacing w:before="3000"/>
      </w:pPr>
      <w:bookmarkStart w:id="9" w:name="_GoBack"/>
      <w:bookmarkEnd w:id="9"/>
      <w:r>
        <w:rPr>
          <w:rFonts w:ascii="Times New Roman" w:hAnsi="Times New Roman" w:eastAsia="黑体"/>
          <w:b/>
          <w:color w:val="000000"/>
          <w:sz w:val="40"/>
        </w:rPr>
        <w:t>RoboParty 仓库文件清单</w:t>
      </w:r>
    </w:p>
    <w:p w14:paraId="0DC9F4FC">
      <w:pPr>
        <w:pStyle w:val="33"/>
        <w:spacing w:after="480"/>
      </w:pPr>
      <w:r>
        <w:rPr>
          <w:rFonts w:ascii="Times New Roman" w:hAnsi="Times New Roman" w:eastAsia="黑体"/>
          <w:b/>
          <w:color w:val="000000"/>
          <w:sz w:val="48"/>
        </w:rPr>
        <w:t>INTACT-JEPA</w:t>
      </w:r>
    </w:p>
    <w:p w14:paraId="0A57736B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GitHub 组织 Roboparty 开源仓库逐仓文件索引</w:t>
      </w:r>
    </w:p>
    <w:p w14:paraId="64A901B7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仓库地址：https://github.com/Roboparty/INTACT-JEPA</w:t>
      </w:r>
    </w:p>
    <w:p w14:paraId="161B7067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数据采集时点：2026 年 10 月 5 日</w:t>
      </w:r>
    </w:p>
    <w:p w14:paraId="554D66C0">
      <w:pPr>
        <w:sectPr>
          <w:footerReference r:id="rId5" w:type="default"/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23861718">
      <w:pPr>
        <w:spacing w:after="360"/>
        <w:ind w:left="0" w:leftChars="0" w:right="0" w:rightChars="0" w:firstLine="0" w:firstLineChars="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目　录</w:t>
      </w:r>
    </w:p>
    <w:p w14:paraId="0B2D69B9">
      <w:pPr>
        <w:pStyle w:val="26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fldChar w:fldCharType="begin"/>
      </w:r>
      <w:r>
        <w:instrText xml:space="preserve"> HYPERLINK \l _Toc817 </w:instrText>
      </w:r>
      <w:r>
        <w:fldChar w:fldCharType="separate"/>
      </w:r>
      <w:r>
        <w:t>一、仓库概况</w:t>
      </w:r>
      <w:r>
        <w:tab/>
      </w:r>
      <w:r>
        <w:fldChar w:fldCharType="begin"/>
      </w:r>
      <w:r>
        <w:instrText xml:space="preserve"> PAGEREF _Toc817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447A77BD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_Toc1784 </w:instrText>
      </w:r>
      <w:r>
        <w:rPr>
          <w:rFonts w:ascii="Times New Roman" w:hAnsi="Times New Roman" w:eastAsia="宋体"/>
        </w:rPr>
        <w:fldChar w:fldCharType="separate"/>
      </w:r>
      <w:r>
        <w:t>二、顶层条目索引</w:t>
      </w:r>
      <w:r>
        <w:tab/>
      </w:r>
      <w:r>
        <w:fldChar w:fldCharType="begin"/>
      </w:r>
      <w:r>
        <w:instrText xml:space="preserve"> PAGEREF _Toc1784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23830F1C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_Toc13409 </w:instrText>
      </w:r>
      <w:r>
        <w:rPr>
          <w:rFonts w:ascii="Times New Roman" w:hAnsi="Times New Roman" w:eastAsia="宋体"/>
        </w:rPr>
        <w:fldChar w:fldCharType="separate"/>
      </w:r>
      <w:r>
        <w:t>三、目录用途说明</w:t>
      </w:r>
      <w:r>
        <w:tab/>
      </w:r>
      <w:r>
        <w:fldChar w:fldCharType="begin"/>
      </w:r>
      <w:r>
        <w:instrText xml:space="preserve"> PAGEREF _Toc13409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038A1E79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_Toc31898 </w:instrText>
      </w:r>
      <w:r>
        <w:rPr>
          <w:rFonts w:ascii="Times New Roman" w:hAnsi="Times New Roman" w:eastAsia="宋体"/>
        </w:rPr>
        <w:fldChar w:fldCharType="separate"/>
      </w:r>
      <w:r>
        <w:t>.github/</w:t>
      </w:r>
      <w:r>
        <w:tab/>
      </w:r>
      <w:r>
        <w:fldChar w:fldCharType="begin"/>
      </w:r>
      <w:r>
        <w:instrText xml:space="preserve"> PAGEREF _Toc31898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225D1202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_Toc645 </w:instrText>
      </w:r>
      <w:r>
        <w:rPr>
          <w:rFonts w:ascii="Times New Roman" w:hAnsi="Times New Roman" w:eastAsia="宋体"/>
        </w:rPr>
        <w:fldChar w:fldCharType="separate"/>
      </w:r>
      <w:r>
        <w:t>assets/</w:t>
      </w:r>
      <w:r>
        <w:tab/>
      </w:r>
      <w:r>
        <w:fldChar w:fldCharType="begin"/>
      </w:r>
      <w:r>
        <w:instrText xml:space="preserve"> PAGEREF _Toc645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4E442F69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_Toc9522 </w:instrText>
      </w:r>
      <w:r>
        <w:rPr>
          <w:rFonts w:ascii="Times New Roman" w:hAnsi="Times New Roman" w:eastAsia="宋体"/>
        </w:rPr>
        <w:fldChar w:fldCharType="separate"/>
      </w:r>
      <w:r>
        <w:t>docs/</w:t>
      </w:r>
      <w:r>
        <w:tab/>
      </w:r>
      <w:r>
        <w:fldChar w:fldCharType="begin"/>
      </w:r>
      <w:r>
        <w:instrText xml:space="preserve"> PAGEREF _Toc9522 \h </w:instrText>
      </w:r>
      <w:r>
        <w:fldChar w:fldCharType="separate"/>
      </w:r>
      <w:r>
        <w:t>6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3A371796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_Toc28499 </w:instrText>
      </w:r>
      <w:r>
        <w:rPr>
          <w:rFonts w:ascii="Times New Roman" w:hAnsi="Times New Roman" w:eastAsia="宋体"/>
        </w:rPr>
        <w:fldChar w:fldCharType="separate"/>
      </w:r>
      <w:r>
        <w:t>tools/</w:t>
      </w:r>
      <w:r>
        <w:tab/>
      </w:r>
      <w:r>
        <w:fldChar w:fldCharType="begin"/>
      </w:r>
      <w:r>
        <w:instrText xml:space="preserve"> PAGEREF _Toc28499 \h </w:instrText>
      </w:r>
      <w:r>
        <w:fldChar w:fldCharType="separate"/>
      </w:r>
      <w:r>
        <w:t>7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0BAD8532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_Toc19494 </w:instrText>
      </w:r>
      <w:r>
        <w:rPr>
          <w:rFonts w:ascii="Times New Roman" w:hAnsi="Times New Roman" w:eastAsia="宋体"/>
        </w:rPr>
        <w:fldChar w:fldCharType="separate"/>
      </w:r>
      <w:r>
        <w:t>根目录文件</w:t>
      </w:r>
      <w:r>
        <w:tab/>
      </w:r>
      <w:r>
        <w:fldChar w:fldCharType="begin"/>
      </w:r>
      <w:r>
        <w:instrText xml:space="preserve"> PAGEREF _Toc19494 \h </w:instrText>
      </w:r>
      <w:r>
        <w:fldChar w:fldCharType="separate"/>
      </w:r>
      <w:r>
        <w:t>7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35F818B2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_Toc20219 </w:instrText>
      </w:r>
      <w:r>
        <w:rPr>
          <w:rFonts w:ascii="Times New Roman" w:hAnsi="Times New Roman" w:eastAsia="宋体"/>
        </w:rPr>
        <w:fldChar w:fldCharType="separate"/>
      </w:r>
      <w:r>
        <w:t>附录：完整文件清单</w:t>
      </w:r>
      <w:r>
        <w:tab/>
      </w:r>
      <w:r>
        <w:fldChar w:fldCharType="begin"/>
      </w:r>
      <w:r>
        <w:instrText xml:space="preserve"> PAGEREF _Toc20219 \h </w:instrText>
      </w:r>
      <w:r>
        <w:fldChar w:fldCharType="separate"/>
      </w:r>
      <w:r>
        <w:t>7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0B000D8A">
      <w:pPr>
        <w:spacing w:line="240" w:lineRule="auto"/>
        <w:ind w:left="0" w:leftChars="0" w:right="0" w:rightChars="0" w:firstLine="0" w:firstLineChars="0"/>
      </w:pPr>
      <w:r>
        <w:rPr>
          <w:rFonts w:ascii="Times New Roman" w:hAnsi="Times New Roman" w:eastAsia="宋体"/>
        </w:rPr>
        <w:fldChar w:fldCharType="end"/>
      </w:r>
    </w:p>
    <w:p w14:paraId="264B4FE6">
      <w:pPr>
        <w:sectPr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6B4E27D8">
      <w:pPr>
        <w:pStyle w:val="3"/>
      </w:pPr>
      <w:bookmarkStart w:id="0" w:name="_Toc817"/>
      <w:r>
        <w:t>一、仓库概况</w:t>
      </w:r>
      <w:bookmarkEnd w:id="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2268"/>
        <w:gridCol w:w="6803"/>
      </w:tblGrid>
      <w:tr w14:paraId="3CF71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6CD838B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w="6803" w:type="dxa"/>
            <w:shd w:val="clear" w:color="auto" w:fill="D9D9D9"/>
            <w:vAlign w:val="center"/>
          </w:tcPr>
          <w:p w14:paraId="562DA09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内容</w:t>
            </w:r>
          </w:p>
        </w:tc>
      </w:tr>
      <w:tr w14:paraId="23528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2C4BDD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仓库名</w:t>
            </w:r>
          </w:p>
        </w:tc>
        <w:tc>
          <w:tcPr>
            <w:tcW w:w="6803" w:type="dxa"/>
            <w:vAlign w:val="center"/>
          </w:tcPr>
          <w:p w14:paraId="42B169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INTACT-JEPA</w:t>
            </w:r>
          </w:p>
        </w:tc>
      </w:tr>
      <w:tr w14:paraId="52DF8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0F1AC5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仓库地址</w:t>
            </w:r>
          </w:p>
        </w:tc>
        <w:tc>
          <w:tcPr>
            <w:tcW w:w="6803" w:type="dxa"/>
            <w:vAlign w:val="center"/>
          </w:tcPr>
          <w:p w14:paraId="13AB151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https://github.com/Roboparty/INTACT-JEPA</w:t>
            </w:r>
          </w:p>
        </w:tc>
      </w:tr>
      <w:tr w14:paraId="76A4E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06A24D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分类</w:t>
            </w:r>
          </w:p>
        </w:tc>
        <w:tc>
          <w:tcPr>
            <w:tcW w:w="6803" w:type="dxa"/>
            <w:vAlign w:val="center"/>
          </w:tcPr>
          <w:p w14:paraId="5EC7B20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 训练与算法</w:t>
            </w:r>
          </w:p>
        </w:tc>
      </w:tr>
      <w:tr w14:paraId="0807F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BD8ABF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主要语言</w:t>
            </w:r>
          </w:p>
        </w:tc>
        <w:tc>
          <w:tcPr>
            <w:tcW w:w="6803" w:type="dxa"/>
            <w:vAlign w:val="center"/>
          </w:tcPr>
          <w:p w14:paraId="1FF83B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Python</w:t>
            </w:r>
          </w:p>
        </w:tc>
      </w:tr>
      <w:tr w14:paraId="3495E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5FABE4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许可证</w:t>
            </w:r>
          </w:p>
        </w:tc>
        <w:tc>
          <w:tcPr>
            <w:tcW w:w="6803" w:type="dxa"/>
            <w:vAlign w:val="center"/>
          </w:tcPr>
          <w:p w14:paraId="36A971D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MIT</w:t>
            </w:r>
          </w:p>
        </w:tc>
      </w:tr>
      <w:tr w14:paraId="3CF10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B4B6B2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Star 数</w:t>
            </w:r>
          </w:p>
        </w:tc>
        <w:tc>
          <w:tcPr>
            <w:tcW w:w="6803" w:type="dxa"/>
            <w:vAlign w:val="center"/>
          </w:tcPr>
          <w:p w14:paraId="6058FD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</w:t>
            </w:r>
          </w:p>
        </w:tc>
      </w:tr>
      <w:tr w14:paraId="2EEDA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94B8DC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Fork 情况</w:t>
            </w:r>
          </w:p>
        </w:tc>
        <w:tc>
          <w:tcPr>
            <w:tcW w:w="6803" w:type="dxa"/>
            <w:vAlign w:val="center"/>
          </w:tcPr>
          <w:p w14:paraId="458ED2E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是 GitHub 上的 fork 仓库</w:t>
            </w:r>
          </w:p>
        </w:tc>
      </w:tr>
      <w:tr w14:paraId="3A36A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8874A0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默认分支</w:t>
            </w:r>
          </w:p>
        </w:tc>
        <w:tc>
          <w:tcPr>
            <w:tcW w:w="6803" w:type="dxa"/>
            <w:vAlign w:val="center"/>
          </w:tcPr>
          <w:p w14:paraId="411ED2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main</w:t>
            </w:r>
          </w:p>
        </w:tc>
      </w:tr>
      <w:tr w14:paraId="3392A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3C263A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创建时间</w:t>
            </w:r>
          </w:p>
        </w:tc>
        <w:tc>
          <w:tcPr>
            <w:tcW w:w="6803" w:type="dxa"/>
            <w:vAlign w:val="center"/>
          </w:tcPr>
          <w:p w14:paraId="1E8F50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2026-07-29</w:t>
            </w:r>
          </w:p>
        </w:tc>
      </w:tr>
      <w:tr w14:paraId="6B83D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97C4EF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最近推送时间</w:t>
            </w:r>
          </w:p>
        </w:tc>
        <w:tc>
          <w:tcPr>
            <w:tcW w:w="6803" w:type="dxa"/>
            <w:vAlign w:val="center"/>
          </w:tcPr>
          <w:p w14:paraId="36AB6A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2026-07-30</w:t>
            </w:r>
          </w:p>
        </w:tc>
      </w:tr>
      <w:tr w14:paraId="54AFB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B5E994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最近提交时间</w:t>
            </w:r>
          </w:p>
        </w:tc>
        <w:tc>
          <w:tcPr>
            <w:tcW w:w="6803" w:type="dxa"/>
            <w:vAlign w:val="center"/>
          </w:tcPr>
          <w:p w14:paraId="40F3695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2026-07-30</w:t>
            </w:r>
          </w:p>
        </w:tc>
      </w:tr>
      <w:tr w14:paraId="32ADC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4A1E8D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文件数</w:t>
            </w:r>
          </w:p>
        </w:tc>
        <w:tc>
          <w:tcPr>
            <w:tcW w:w="6803" w:type="dxa"/>
            <w:vAlign w:val="center"/>
          </w:tcPr>
          <w:p w14:paraId="16408AD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83</w:t>
            </w:r>
          </w:p>
        </w:tc>
      </w:tr>
      <w:tr w14:paraId="686EF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470F28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目录数</w:t>
            </w:r>
          </w:p>
        </w:tc>
        <w:tc>
          <w:tcPr>
            <w:tcW w:w="6803" w:type="dxa"/>
            <w:vAlign w:val="center"/>
          </w:tcPr>
          <w:p w14:paraId="795A58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</w:t>
            </w:r>
          </w:p>
        </w:tc>
      </w:tr>
      <w:tr w14:paraId="19FB7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BDDB37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顶层条目数</w:t>
            </w:r>
          </w:p>
        </w:tc>
        <w:tc>
          <w:tcPr>
            <w:tcW w:w="6803" w:type="dxa"/>
            <w:vAlign w:val="center"/>
          </w:tcPr>
          <w:p w14:paraId="434A443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</w:t>
            </w:r>
          </w:p>
        </w:tc>
      </w:tr>
    </w:tbl>
    <w:p w14:paraId="0C2AFFE4"/>
    <w:p w14:paraId="5B1AF421">
      <w:pPr>
        <w:ind w:firstLine="480" w:firstLineChars="200"/>
      </w:pPr>
      <w:r>
        <w:t>本仓是 RoboParty 组织下的 INTACT-JEPA 研究预览仓，全称为 INTACT: Isomorphic Intent-to-Action Learning for Search-Free World Models。README 作者栏署名为 Junhan Sun（浙江大学 CAD&amp;CG 国家重点实验室）、Hao Zhao（清华大学智能产业研究院 AIR）与 Guofeng Zhang（InSpatio），署名单位中包含 RoboParty Lab；论文预印本为 arXiv:2607.26056，配套项目页为 zju3dv.github.io/INTACT-JEPA。</w:t>
      </w:r>
    </w:p>
    <w:p w14:paraId="284C2853">
      <w:pPr>
        <w:ind w:firstLine="480" w:firstLineChars="200"/>
      </w:pPr>
      <w:r>
        <w:t>仓库共 83 个受控文件、13 个目录、12 个顶层条目。顶层由 .github、assets、docs、tools 四个目录与 .gitattributes、.gitignore、CITATION.cff、CONTRIBUTING.md、LICENSE、NOTICE.md、README.md、README_CN.md 八个文件组成；内容主体是文档与素材（docs/ 递归 58 个文件、assets/ 7 个 png、docs/assets/ 42 个图片与影片），而非训练代码。</w:t>
      </w:r>
    </w:p>
    <w:p w14:paraId="5052B93B">
      <w:pPr>
        <w:ind w:firstLine="480" w:firstLineChars="200"/>
      </w:pPr>
      <w:r>
        <w:t>README 明确该仓目前是公开研究预览（public research preview）：方法与结果文档、署名与许可边界先在此整理；训练与评估源码、匿名投稿产物与检查点将在许可、来源与双盲评审检查完成后分阶段发布。因此 README 的状态表中「方法与结果文档」为可用、「复现契约」为 docs/REPRODUCIBILITY.md 可用、「训练与评估代码」与「配置与检查点清单」为发布资格评估中、「模型检查点」为计划中，详细发布门槛记录在 docs/RELEASE.md。</w:t>
      </w:r>
    </w:p>
    <w:p w14:paraId="489CD69E">
      <w:pPr>
        <w:ind w:firstLine="480" w:firstLineChars="200"/>
      </w:pPr>
      <w:r>
        <w:t>README 给出关键实验数字：单轮（1 epoch）目标位移 INTACT 的 Direct 宏平均成功率为 95.33 加减 0.58%，且不做任何候选搜索；同一批检查点加 384 序列局部验证后为 96.86 加减 0.38%。共享编码器设置下（四个视觉域共用一个编码器）epoch 5 的 Direct 宏平均成功率为 89.39 加减 0.77%，匹配的共享 LeWM 基线为 66.17 加减 2.67%；把 INTACT 的动作头全部关闭后纯 CEM 的宏平均成功率升至 70.08 加减 1.13%，用以区分表征塑造与直接动作读出。README 特别说明已发布的 LeWM 数字使用其独立的 10 轮 CEM 协议，只作背景参照、不是配对显著性对照。</w:t>
      </w:r>
    </w:p>
    <w:p w14:paraId="7CAE54BF">
      <w:pPr>
        <w:ind w:firstLine="480" w:firstLineChars="200"/>
      </w:pPr>
      <w:r>
        <w:t>README 还在「Theory Meets Measurement」一节给出相关性证据：在 45 个合格的共享编码器检查点上，预测与专家动作族的 kNN 重合度与 Direct 成功率相关性 r = 0.954，线性 CKA 为 r = 0.897，而逐点动作决定系数 R 平方较弱（r = 0.815）。本次采集覆盖 12 个顶层条目与全部 83 个受控文件，包括 docs/assets 下的项目影片与各类对照图，以及 docs/vendor 下的第三方前端库。</w:t>
      </w:r>
    </w:p>
    <w:p w14:paraId="55ED8820">
      <w:pPr>
        <w:ind w:firstLine="480" w:firstLineChars="200"/>
      </w:pPr>
      <w:r>
        <w:t>该仓含 README.md（原文约 12728 字符，本册已读到全文）与中文版 README_CN.md；README 覆盖 INTACT 的设计动机（同构的意图到动作学习）、统一输入语法与两种意图实例、方法与组件表、单轮与共享编码器两组结果、理论到测量的相关性数字、论文与网站与代码的发布状态表、引用格式（含 BibTeX）与致谢边界，并点名 docs/METHOD.md、docs/RESULTS.md、docs/REPRODUCIBILITY.md、docs/RELEASE.md、NOTICE.md、CITATION.cff、assets/ 与 docs/assets/ 下的多张图与影片。</w:t>
      </w:r>
    </w:p>
    <w:p w14:paraId="349AAE34">
      <w:pPr>
        <w:ind w:firstLine="480" w:firstLineChars="200"/>
      </w:pPr>
      <w:r>
        <w:t>该仓为 fork 仓库（元数据 is_fork 为真），元数据显示其创建于 2026-07-29、最近提交与最近推送分别记录为 2026-07-30；README 自述当前形态为公开研究预览，训练与评估代码状态为发布资格评估中，模型检查点为计划中。</w:t>
      </w:r>
    </w:p>
    <w:p w14:paraId="5221EA43">
      <w:pPr>
        <w:ind w:firstLine="480" w:firstLineChars="200"/>
      </w:pPr>
      <w:r>
        <w:t>README 说明 INTACT 构建在 LeWM 与 stable-worldmodel 研究生态之上：评估按官方 LeWM 协议报告，并在明确标注处使用独立的 CLEAR-LeWM 评测器；README 末尾给出联系邮箱。</w:t>
      </w:r>
    </w:p>
    <w:p w14:paraId="7FB3C6B4">
      <w:pPr>
        <w:ind w:firstLine="480" w:firstLineChars="200"/>
      </w:pPr>
      <w:r>
        <w:t>README 未点名 .github/、.github/ISSUE_TEMPLATE/、.github/workflows/、docs/vendor/ 与 tools/，本册对这些目录的说明均标注为 README 未说明、依文件名推断，并写明推断依据。</w:t>
      </w:r>
    </w:p>
    <w:p w14:paraId="5969A3EC">
      <w:pPr>
        <w:pStyle w:val="3"/>
      </w:pPr>
      <w:bookmarkStart w:id="1" w:name="_Toc1784"/>
      <w:r>
        <w:t>二、顶层条目索引</w:t>
      </w:r>
      <w:bookmarkEnd w:id="1"/>
    </w:p>
    <w:p w14:paraId="2104A1CF">
      <w:pPr>
        <w:ind w:firstLine="480" w:firstLineChars="200"/>
      </w:pPr>
      <w:r>
        <w:t>下表列出仓库根目录下的全部顶层条目（共 12 项），包括目录与文件；每个条目的用途说明见“三、目录用途说明”。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624"/>
        <w:gridCol w:w="2268"/>
        <w:gridCol w:w="794"/>
        <w:gridCol w:w="1701"/>
        <w:gridCol w:w="3685"/>
      </w:tblGrid>
      <w:tr w14:paraId="3AC67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624" w:type="dxa"/>
            <w:shd w:val="clear" w:color="auto" w:fill="D9D9D9"/>
            <w:vAlign w:val="center"/>
          </w:tcPr>
          <w:p w14:paraId="3803CDE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序号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700C743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名称</w:t>
            </w:r>
          </w:p>
        </w:tc>
        <w:tc>
          <w:tcPr>
            <w:tcW w:w="794" w:type="dxa"/>
            <w:shd w:val="clear" w:color="auto" w:fill="D9D9D9"/>
            <w:vAlign w:val="center"/>
          </w:tcPr>
          <w:p w14:paraId="1F71969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类型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1EF34AA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规模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4221D92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说明</w:t>
            </w:r>
          </w:p>
        </w:tc>
      </w:tr>
      <w:tr w14:paraId="134A8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438562A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</w:t>
            </w:r>
          </w:p>
        </w:tc>
        <w:tc>
          <w:tcPr>
            <w:tcW w:w="2268" w:type="dxa"/>
            <w:vAlign w:val="center"/>
          </w:tcPr>
          <w:p w14:paraId="27E020C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.gitattributes</w:t>
            </w:r>
          </w:p>
        </w:tc>
        <w:tc>
          <w:tcPr>
            <w:tcW w:w="794" w:type="dxa"/>
            <w:vAlign w:val="center"/>
          </w:tcPr>
          <w:p w14:paraId="58E75C9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11A7C9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1BD022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Git 属性配置，规定换行符与二进制文件的处理方式。</w:t>
            </w:r>
          </w:p>
        </w:tc>
      </w:tr>
      <w:tr w14:paraId="37BA4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0D84FF0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602733C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.github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5C9076A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586024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 个文件 / 2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5D02D5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GitHub 协作配置目录，直接文件为 PULL_REQUEST_TEMPLATE.md；下设 ISSUE_TEMPLATE/ 与 workflows/ 两个子目录，递归 6 个文件（.yml=5、.md=1）。README 未说明该目录。</w:t>
            </w:r>
          </w:p>
        </w:tc>
      </w:tr>
      <w:tr w14:paraId="4E4EE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0F6223C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</w:t>
            </w:r>
          </w:p>
        </w:tc>
        <w:tc>
          <w:tcPr>
            <w:tcW w:w="2268" w:type="dxa"/>
            <w:vAlign w:val="center"/>
          </w:tcPr>
          <w:p w14:paraId="267144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.gitignore</w:t>
            </w:r>
          </w:p>
        </w:tc>
        <w:tc>
          <w:tcPr>
            <w:tcW w:w="794" w:type="dxa"/>
            <w:vAlign w:val="center"/>
          </w:tcPr>
          <w:p w14:paraId="4736488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58CD18C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2E7EC17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Git 忽略规则，声明不纳入版本控制的文件。</w:t>
            </w:r>
          </w:p>
        </w:tc>
      </w:tr>
      <w:tr w14:paraId="791A0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69CE400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3557D5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CITATION.cff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3B216F4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0AEEAA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739D4C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机器可读的引用记录；README 的 Citation 一节请读者优先使用该文件，并另附 BibTeX 条目（Sun、Zhao、Zhang，2026，arXiv:2607.26056）。</w:t>
            </w:r>
          </w:p>
        </w:tc>
      </w:tr>
      <w:tr w14:paraId="6E044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50B546D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</w:t>
            </w:r>
          </w:p>
        </w:tc>
        <w:tc>
          <w:tcPr>
            <w:tcW w:w="2268" w:type="dxa"/>
            <w:vAlign w:val="center"/>
          </w:tcPr>
          <w:p w14:paraId="44D3C7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CONTRIBUTING.md</w:t>
            </w:r>
          </w:p>
        </w:tc>
        <w:tc>
          <w:tcPr>
            <w:tcW w:w="794" w:type="dxa"/>
            <w:vAlign w:val="center"/>
          </w:tcPr>
          <w:p w14:paraId="2349E8E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7BB160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17638C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贡献指南；README 未在已读全文中点名该文件，依文件名与生成器内置说明判断为仓库的贡献流程说明。</w:t>
            </w:r>
          </w:p>
        </w:tc>
      </w:tr>
      <w:tr w14:paraId="15870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54B7253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64EDBA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LICENSE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6785B58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00EEF22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36F49B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MIT 许可证正文；元数据中该仓许可证字段为 MIT。</w:t>
            </w:r>
          </w:p>
        </w:tc>
      </w:tr>
      <w:tr w14:paraId="1FFAD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40B7AE2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7</w:t>
            </w:r>
          </w:p>
        </w:tc>
        <w:tc>
          <w:tcPr>
            <w:tcW w:w="2268" w:type="dxa"/>
            <w:vAlign w:val="center"/>
          </w:tcPr>
          <w:p w14:paraId="228D60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NOTICE.md</w:t>
            </w:r>
          </w:p>
        </w:tc>
        <w:tc>
          <w:tcPr>
            <w:tcW w:w="794" w:type="dxa"/>
            <w:vAlign w:val="center"/>
          </w:tcPr>
          <w:p w14:paraId="10A08DF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4DE16B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79CE47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来源与许可边界说明；README 致谢一节明确指向该文件（See NOTICE.md for provenance and licensing boundaries）。</w:t>
            </w:r>
          </w:p>
        </w:tc>
      </w:tr>
      <w:tr w14:paraId="2EEE7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4C617B3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8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696F3F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README.md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36BCA27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011B20E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4C1FC7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仓库说明文档（英文），介绍 INTACT 的方法、结果、发布状态与引用方式。</w:t>
            </w:r>
          </w:p>
        </w:tc>
      </w:tr>
      <w:tr w14:paraId="432A5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4CDE407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9</w:t>
            </w:r>
          </w:p>
        </w:tc>
        <w:tc>
          <w:tcPr>
            <w:tcW w:w="2268" w:type="dxa"/>
            <w:vAlign w:val="center"/>
          </w:tcPr>
          <w:p w14:paraId="505627C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README_CN.md</w:t>
            </w:r>
          </w:p>
        </w:tc>
        <w:tc>
          <w:tcPr>
            <w:tcW w:w="794" w:type="dxa"/>
            <w:vAlign w:val="center"/>
          </w:tcPr>
          <w:p w14:paraId="5071CAF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45896E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0486D4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README 的中文版；README 导航栏提供「中文」链接指向该文件。</w:t>
            </w:r>
          </w:p>
        </w:tc>
      </w:tr>
      <w:tr w14:paraId="55E04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219862A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10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6F2901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assets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7D7B755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769C22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7 个文件 / 0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53E1ED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顶层图资源目录，7 个直接 .png：intact-wordmark.png、intact-mark.png、intact-teaser.png、shared-encoder-method.png、shared-encoder-results.png、direct-control-results.png、action-family-alignment.png，无子目录。README 首部与「方法」「结果」「理论到测量」各节直接引用其中的 intact-wordmark.png、intact-teaser.png、shared-encoder-method.png、direct-control-results.png、shared-encoder-results.png 与 action-family-alignment.png。</w:t>
            </w:r>
          </w:p>
        </w:tc>
      </w:tr>
      <w:tr w14:paraId="32562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5AA6A3B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11</w:t>
            </w:r>
          </w:p>
        </w:tc>
        <w:tc>
          <w:tcPr>
            <w:tcW w:w="2268" w:type="dxa"/>
            <w:vAlign w:val="center"/>
          </w:tcPr>
          <w:p w14:paraId="2F81B61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docs</w:t>
            </w:r>
          </w:p>
        </w:tc>
        <w:tc>
          <w:tcPr>
            <w:tcW w:w="794" w:type="dxa"/>
            <w:vAlign w:val="center"/>
          </w:tcPr>
          <w:p w14:paraId="2035128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1D787BD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58 个文件 / 7 个子目录</w:t>
            </w:r>
          </w:p>
        </w:tc>
        <w:tc>
          <w:tcPr>
            <w:tcW w:w="3685" w:type="dxa"/>
            <w:vAlign w:val="center"/>
          </w:tcPr>
          <w:p w14:paraId="4D3E4B1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文档与站点主体目录，12 个直接文件：METHOD.md、RELEASE.md、REPRODUCIBILITY.md、RESULTS.md、WEBSITE.md 五个 .md，以及 .nojekyll、index.html、site.css、site.js、action-alignment.js、hero-particles.js、latent-viewer.js 等站点文件；下设 assets/ 与 vendor/ 两个子目录，递归 58 个文件。README 指向 docs/METHOD.md（方法说明）、docs/RESULTS.md（已审计结果）、docs/REPRODUCIBILITY.md（复现契约）与 docs/RELEASE.md（发布计划与详细发布门槛）。</w:t>
            </w:r>
          </w:p>
        </w:tc>
      </w:tr>
      <w:tr w14:paraId="3EAC1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3D64337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12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4725BE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tools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098EE97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0D8141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 个文件 / 0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7656E7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工具脚本目录，4 个直接 .py：build_website_films.py、check_release.py、export_action_alignment.py、export_latent_geometry.py，无子目录。README 未点名该目录，依文件名并结合 README 中影片、发布状态表与动作族对齐图、潜在几何相关素材推断，分别用于构建站点影片、检查发布状态、导出动作族对齐数据与导出潜在空间几何数据。</w:t>
            </w:r>
          </w:p>
        </w:tc>
      </w:tr>
    </w:tbl>
    <w:p w14:paraId="5C132DFA">
      <w:pPr>
        <w:pStyle w:val="3"/>
      </w:pPr>
      <w:bookmarkStart w:id="2" w:name="_Toc13409"/>
      <w:r>
        <w:t>三、目录用途说明</w:t>
      </w:r>
      <w:bookmarkEnd w:id="2"/>
    </w:p>
    <w:p w14:paraId="5E87AF0F">
      <w:pPr>
        <w:ind w:firstLine="480" w:firstLineChars="200"/>
      </w:pPr>
      <w:r>
        <w:t>本节按顶层目录逐一说明其内容；第二层目录同理。说明依据分为两类：依据该仓 README 原文，或 README 未说明、依真实文件名推断。每个目录下列出真实文件作为佐证。</w:t>
      </w:r>
    </w:p>
    <w:p w14:paraId="01BCC699">
      <w:pPr>
        <w:pStyle w:val="4"/>
      </w:pPr>
      <w:bookmarkStart w:id="3" w:name="_Toc31898"/>
      <w:r>
        <w:t>.github/</w:t>
      </w:r>
      <w:bookmarkEnd w:id="3"/>
    </w:p>
    <w:p w14:paraId="72C0BB0B">
      <w:pPr>
        <w:ind w:firstLine="480" w:firstLineChars="200"/>
      </w:pPr>
      <w:r>
        <w:t>GitHub 协作配置目录，直接文件为 PULL_REQUEST_TEMPLATE.md；下设 ISSUE_TEMPLATE/ 与 workflows/ 两个子目录，递归 6 个文件（.yml=5、.md=1）。README 未说明该目录。</w:t>
      </w:r>
    </w:p>
    <w:p w14:paraId="11C30CB4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2 个；递归共 6 个文件、2 个目录。README 未说明，依文件名推断</w:t>
      </w:r>
    </w:p>
    <w:p w14:paraId="7F7809C8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根层代表文件：PULL_REQUEST_TEMPLATE.md。</w:t>
      </w:r>
    </w:p>
    <w:p w14:paraId="2595C115">
      <w:pPr>
        <w:pStyle w:val="5"/>
      </w:pPr>
      <w:r>
        <w:t>.github/ISSUE_TEMPLATE/</w:t>
      </w:r>
    </w:p>
    <w:p w14:paraId="5D8AF5CD">
      <w:pPr>
        <w:ind w:firstLine="480" w:firstLineChars="200"/>
      </w:pPr>
      <w:r>
        <w:t>议题模板目录，3 个直接 .yml：bug_report.yml、config.yml、experiment_report.yml。README 未说明该目录，依文件名推断为缺陷报告、议题模板配置与实验结果反馈三类议题表单。</w:t>
      </w:r>
    </w:p>
    <w:p w14:paraId="192775B9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3 个，子目录 0 个；递归共 3 个文件、0 个目录。README 未说明，依文件名推断</w:t>
      </w:r>
    </w:p>
    <w:p w14:paraId="333A1135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代表文件：bug_report.yml、config.yml、experiment_report.yml。</w:t>
      </w:r>
    </w:p>
    <w:p w14:paraId="4F53E9FA">
      <w:pPr>
        <w:pStyle w:val="5"/>
      </w:pPr>
      <w:r>
        <w:t>.github/workflows/</w:t>
      </w:r>
    </w:p>
    <w:p w14:paraId="3221A120">
      <w:pPr>
        <w:ind w:firstLine="480" w:firstLineChars="200"/>
      </w:pPr>
      <w:r>
        <w:t>GitHub Actions 工作流目录，2 个直接 .yml：pages.yml 与 repository-quality.yml。README 未说明该目录；结合 docs/.nojekyll、docs/index.html 等站点文件与 README 中已上线的项目页（zju3dv.github.io/INTACT-JEPA）依文件名推断，分别为项目页部署与仓库质量检查两条工作流。</w:t>
      </w:r>
    </w:p>
    <w:p w14:paraId="6F196873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2 个，子目录 0 个；递归共 2 个文件、0 个目录。README 未说明，依文件名推断</w:t>
      </w:r>
    </w:p>
    <w:p w14:paraId="7E30444C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代表文件：pages.yml、repository-quality.yml。</w:t>
      </w:r>
    </w:p>
    <w:p w14:paraId="29E20F88">
      <w:pPr>
        <w:pStyle w:val="4"/>
      </w:pPr>
      <w:bookmarkStart w:id="4" w:name="_Toc645"/>
      <w:r>
        <w:t>assets/</w:t>
      </w:r>
      <w:bookmarkEnd w:id="4"/>
    </w:p>
    <w:p w14:paraId="149000CA">
      <w:pPr>
        <w:ind w:firstLine="480" w:firstLineChars="200"/>
      </w:pPr>
      <w:r>
        <w:t>顶层图资源目录，7 个直接 .png：intact-wordmark.png、intact-mark.png、intact-teaser.png、shared-encoder-method.png、shared-encoder-results.png、direct-control-results.png、action-family-alignment.png，无子目录。README 首部与「方法」「结果」「理论到测量」各节直接引用其中的 intact-wordmark.png、intact-teaser.png、shared-encoder-method.png、direct-control-results.png、shared-encoder-results.png 与 action-family-alignment.png。</w:t>
      </w:r>
    </w:p>
    <w:p w14:paraId="3707C799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7 个，子目录 0 个；递归共 7 个文件、0 个目录。依据该仓 README 原文</w:t>
      </w:r>
    </w:p>
    <w:p w14:paraId="6169F1B2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根层代表文件：action-family-alignment.png、direct-control-results.png、intact-mark.png、intact-teaser.png、intact-wordmark.png、shared-encoder-method.png、shared-encoder-results.png。</w:t>
      </w:r>
    </w:p>
    <w:p w14:paraId="094A644B">
      <w:pPr>
        <w:pStyle w:val="4"/>
      </w:pPr>
      <w:bookmarkStart w:id="5" w:name="_Toc9522"/>
      <w:r>
        <w:t>docs/</w:t>
      </w:r>
      <w:bookmarkEnd w:id="5"/>
    </w:p>
    <w:p w14:paraId="39BF0A2F">
      <w:pPr>
        <w:ind w:firstLine="480" w:firstLineChars="200"/>
      </w:pPr>
      <w:r>
        <w:t>文档与站点主体目录，12 个直接文件：METHOD.md、RELEASE.md、REPRODUCIBILITY.md、RESULTS.md、WEBSITE.md 五个 .md，以及 .nojekyll、index.html、site.css、site.js、action-alignment.js、hero-particles.js、latent-viewer.js 等站点文件；下设 assets/ 与 vendor/ 两个子目录，递归 58 个文件。README 指向 docs/METHOD.md（方法说明）、docs/RESULTS.md（已审计结果）、docs/REPRODUCIBILITY.md（复现契约）与 docs/RELEASE.md（发布计划与详细发布门槛）。</w:t>
      </w:r>
    </w:p>
    <w:p w14:paraId="19BD400D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12 个，子目录 2 个；递归共 58 个文件、7 个目录。依据该仓 README 原文</w:t>
      </w:r>
    </w:p>
    <w:p w14:paraId="32A67899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根层代表文件：.nojekyll、METHOD.md、RELEASE.md、REPRODUCIBILITY.md、RESULTS.md、WEBSITE.md、action-alignment.js、hero-particles.js；另有 4 个直接文件。</w:t>
      </w:r>
    </w:p>
    <w:p w14:paraId="693ABDB5">
      <w:pPr>
        <w:pStyle w:val="5"/>
      </w:pPr>
      <w:r>
        <w:t>docs/assets/</w:t>
      </w:r>
    </w:p>
    <w:p w14:paraId="09E574F8">
      <w:pPr>
        <w:ind w:firstLine="480" w:firstLineChars="200"/>
      </w:pPr>
      <w:r>
        <w:t>站点与文档素材目录，32 个直接文件（.png=16、.jpg=7、.mp4=7、.json=6、.i16=6，共递归 42 个文件），含 intact-hero-film.mp4（README 说明为 61.9 秒 1080p 项目影片）、intact-hero-film-poster.jpg、intact-hero-film-poster-20260730.jpg、intact-project-film-share.mp4、action-alignment-e5.json、goal-intact-alignment.json、cka-sr-evolution.mp4 与多张对照图，另含 inspatio-logo.png、roboparty-lab-logo.png 等标识；下设 latent-geometry/ 子目录。README 的 Project Film 一段直接引用其中的 intact-hero-film-poster.jpg、intact-hero-film.mp4 与 intact-project-film-share.mp4。</w:t>
      </w:r>
    </w:p>
    <w:p w14:paraId="0A36880D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32 个，子目录 1 个；递归共 42 个文件、4 个目录。依据该仓 README 原文</w:t>
      </w:r>
    </w:p>
    <w:p w14:paraId="46D255C2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代表文件：action-alignment-e5.json、action-family-alignment.png、cka-sr-evolution-poster.jpg、cka-sr-evolution.mp4、direct-control-results.png、geometry-regimes-poster.jpg、geometry-regimes.mp4、goal-intact-alignment.json；另有 24 个直接文件。</w:t>
      </w:r>
    </w:p>
    <w:p w14:paraId="31DEBEC6">
      <w:pPr>
        <w:pStyle w:val="5"/>
      </w:pPr>
      <w:r>
        <w:t>docs/vendor/</w:t>
      </w:r>
    </w:p>
    <w:p w14:paraId="01893864">
      <w:pPr>
        <w:ind w:firstLine="480" w:firstLineChars="200"/>
      </w:pPr>
      <w:r>
        <w:t>第三方前端库目录，无直接文件，下设 three/ 一个子目录（3 个 .js 与 1 个 .txt，递归 4 个文件）。README 未说明该目录，依目录名与文件扩展名推断为项目页所依赖的 three.js 库及其许可证文本。</w:t>
      </w:r>
    </w:p>
    <w:p w14:paraId="5960EBB0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0 个，子目录 1 个；递归共 4 个文件、1 个目录。README 未说明，依文件名推断</w:t>
      </w:r>
    </w:p>
    <w:p w14:paraId="321A56EA">
      <w:pPr>
        <w:pStyle w:val="4"/>
      </w:pPr>
      <w:bookmarkStart w:id="6" w:name="_Toc28499"/>
      <w:r>
        <w:t>tools/</w:t>
      </w:r>
      <w:bookmarkEnd w:id="6"/>
    </w:p>
    <w:p w14:paraId="50E9DD6F">
      <w:pPr>
        <w:ind w:firstLine="480" w:firstLineChars="200"/>
      </w:pPr>
      <w:r>
        <w:t>工具脚本目录，4 个直接 .py：build_website_films.py、check_release.py、export_action_alignment.py、export_latent_geometry.py，无子目录。README 未点名该目录，依文件名并结合 README 中影片、发布状态表与动作族对齐图、潜在几何相关素材推断，分别用于构建站点影片、检查发布状态、导出动作族对齐数据与导出潜在空间几何数据。</w:t>
      </w:r>
    </w:p>
    <w:p w14:paraId="6222C268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4 个，子目录 0 个；递归共 4 个文件、0 个目录。README 未说明，依文件名推断</w:t>
      </w:r>
    </w:p>
    <w:p w14:paraId="6AC21867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根层代表文件：build_website_films.py、check_release.py、export_action_alignment.py、export_latent_geometry.py。</w:t>
      </w:r>
    </w:p>
    <w:p w14:paraId="1CFDBA38">
      <w:pPr>
        <w:pStyle w:val="4"/>
      </w:pPr>
      <w:bookmarkStart w:id="7" w:name="_Toc19494"/>
      <w:r>
        <w:t>根目录文件</w:t>
      </w:r>
      <w:bookmarkEnd w:id="7"/>
    </w:p>
    <w:p w14:paraId="43B29E54">
      <w:pPr>
        <w:ind w:firstLine="480" w:firstLineChars="200"/>
      </w:pPr>
      <w:r>
        <w:t>.gitattributes：Git 属性配置，规定换行符与二进制文件的处理方式。</w:t>
      </w:r>
    </w:p>
    <w:p w14:paraId="081BE709">
      <w:pPr>
        <w:ind w:firstLine="480" w:firstLineChars="200"/>
      </w:pPr>
      <w:r>
        <w:t>.gitignore：Git 忽略规则，声明不纳入版本控制的文件。</w:t>
      </w:r>
    </w:p>
    <w:p w14:paraId="6FFB992D">
      <w:pPr>
        <w:ind w:firstLine="480" w:firstLineChars="200"/>
      </w:pPr>
      <w:r>
        <w:t>CITATION.cff：机器可读的引用记录；README 的 Citation 一节请读者优先使用该文件，并另附 BibTeX 条目（Sun、Zhao、Zhang，2026，arXiv:2607.26056）。</w:t>
      </w:r>
    </w:p>
    <w:p w14:paraId="5A9AFB8D">
      <w:pPr>
        <w:ind w:firstLine="480" w:firstLineChars="200"/>
      </w:pPr>
      <w:r>
        <w:t>CONTRIBUTING.md：贡献指南；README 未在已读全文中点名该文件，依文件名与生成器内置说明判断为仓库的贡献流程说明。</w:t>
      </w:r>
    </w:p>
    <w:p w14:paraId="0D79227C">
      <w:pPr>
        <w:ind w:firstLine="480" w:firstLineChars="200"/>
      </w:pPr>
      <w:r>
        <w:t>LICENSE：MIT 许可证正文；元数据中该仓许可证字段为 MIT。</w:t>
      </w:r>
    </w:p>
    <w:p w14:paraId="29F00894">
      <w:pPr>
        <w:ind w:firstLine="480" w:firstLineChars="200"/>
      </w:pPr>
      <w:r>
        <w:t>NOTICE.md：来源与许可边界说明；README 致谢一节明确指向该文件（See NOTICE.md for provenance and licensing boundaries）。</w:t>
      </w:r>
    </w:p>
    <w:p w14:paraId="6882C37D">
      <w:pPr>
        <w:ind w:firstLine="480" w:firstLineChars="200"/>
      </w:pPr>
      <w:r>
        <w:t>README.md：仓库说明文档（英文），介绍 INTACT 的方法、结果、发布状态与引用方式。</w:t>
      </w:r>
    </w:p>
    <w:p w14:paraId="2F87CD18">
      <w:pPr>
        <w:ind w:firstLine="480" w:firstLineChars="200"/>
      </w:pPr>
      <w:r>
        <w:t>README_CN.md：README 的中文版；README 导航栏提供「中文」链接指向该文件。</w:t>
      </w:r>
    </w:p>
    <w:p w14:paraId="2FCA8FCE">
      <w:pPr>
        <w:pStyle w:val="3"/>
      </w:pPr>
      <w:bookmarkStart w:id="8" w:name="_Toc20219"/>
      <w:r>
        <w:t>附录：完整文件清单</w:t>
      </w:r>
      <w:bookmarkEnd w:id="8"/>
    </w:p>
    <w:p w14:paraId="321BDBD4">
      <w:pPr>
        <w:ind w:firstLine="480" w:firstLineChars="200"/>
      </w:pPr>
      <w:r>
        <w:t>下表按路径列出该仓库全部 83 个受版本控制的文件，供逐条查阅。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4535"/>
        <w:gridCol w:w="4535"/>
      </w:tblGrid>
      <w:tr w14:paraId="43A6F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4535" w:type="dxa"/>
            <w:shd w:val="clear" w:color="auto" w:fill="D9D9D9"/>
            <w:vAlign w:val="center"/>
          </w:tcPr>
          <w:p w14:paraId="6F2286C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文件路径</w:t>
            </w:r>
          </w:p>
        </w:tc>
        <w:tc>
          <w:tcPr>
            <w:tcW w:w="4535" w:type="dxa"/>
            <w:shd w:val="clear" w:color="auto" w:fill="D9D9D9"/>
            <w:vAlign w:val="center"/>
          </w:tcPr>
          <w:p w14:paraId="02E37E6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文件路径</w:t>
            </w:r>
          </w:p>
        </w:tc>
      </w:tr>
      <w:tr w14:paraId="76C82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8A6C5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.gitattributes</w:t>
            </w:r>
          </w:p>
        </w:tc>
        <w:tc>
          <w:tcPr>
            <w:tcW w:w="4535" w:type="dxa"/>
            <w:vAlign w:val="center"/>
          </w:tcPr>
          <w:p w14:paraId="2D7518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docs/assets/intact-hero-film-poster.jpg</w:t>
            </w:r>
          </w:p>
        </w:tc>
      </w:tr>
      <w:tr w14:paraId="19C0D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533F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.github/ISSUE_TEMPLATE/bug_report.yml</w:t>
            </w:r>
          </w:p>
        </w:tc>
        <w:tc>
          <w:tcPr>
            <w:tcW w:w="4535" w:type="dxa"/>
            <w:vAlign w:val="center"/>
          </w:tcPr>
          <w:p w14:paraId="5916D29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docs/assets/intact-hero-film.mp4</w:t>
            </w:r>
          </w:p>
        </w:tc>
      </w:tr>
      <w:tr w14:paraId="7A7F5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55DB4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.github/ISSUE_TEMPLATE/config.yml</w:t>
            </w:r>
          </w:p>
        </w:tc>
        <w:tc>
          <w:tcPr>
            <w:tcW w:w="4535" w:type="dxa"/>
            <w:vAlign w:val="center"/>
          </w:tcPr>
          <w:p w14:paraId="06EA32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docs/assets/intact-mark-light.png</w:t>
            </w:r>
          </w:p>
        </w:tc>
      </w:tr>
      <w:tr w14:paraId="75786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354AA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.github/ISSUE_TEMPLATE/experiment_report.yml</w:t>
            </w:r>
          </w:p>
        </w:tc>
        <w:tc>
          <w:tcPr>
            <w:tcW w:w="4535" w:type="dxa"/>
            <w:vAlign w:val="center"/>
          </w:tcPr>
          <w:p w14:paraId="5977B5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docs/assets/intact-mark.png</w:t>
            </w:r>
          </w:p>
        </w:tc>
      </w:tr>
      <w:tr w14:paraId="46618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7821DD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.github/PULL_REQUEST_TEMPLATE.md</w:t>
            </w:r>
          </w:p>
        </w:tc>
        <w:tc>
          <w:tcPr>
            <w:tcW w:w="4535" w:type="dxa"/>
            <w:vAlign w:val="center"/>
          </w:tcPr>
          <w:p w14:paraId="036316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docs/assets/intact-project-film-share.mp4</w:t>
            </w:r>
          </w:p>
        </w:tc>
      </w:tr>
      <w:tr w14:paraId="56B8E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454C6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.github/workflows/pages.yml</w:t>
            </w:r>
          </w:p>
        </w:tc>
        <w:tc>
          <w:tcPr>
            <w:tcW w:w="4535" w:type="dxa"/>
            <w:vAlign w:val="center"/>
          </w:tcPr>
          <w:p w14:paraId="149D8E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docs/assets/intact-teaser-v31.png</w:t>
            </w:r>
          </w:p>
        </w:tc>
      </w:tr>
      <w:tr w14:paraId="4C914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8591DC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.github/workflows/repository-quality.yml</w:t>
            </w:r>
          </w:p>
        </w:tc>
        <w:tc>
          <w:tcPr>
            <w:tcW w:w="4535" w:type="dxa"/>
            <w:vAlign w:val="center"/>
          </w:tcPr>
          <w:p w14:paraId="058E45F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docs/assets/intact-wordmark-light.png</w:t>
            </w:r>
          </w:p>
        </w:tc>
      </w:tr>
      <w:tr w14:paraId="0C2C2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062CE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.gitignore</w:t>
            </w:r>
          </w:p>
        </w:tc>
        <w:tc>
          <w:tcPr>
            <w:tcW w:w="4535" w:type="dxa"/>
            <w:vAlign w:val="center"/>
          </w:tcPr>
          <w:p w14:paraId="5E4CA5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docs/assets/intact-wordmark.png</w:t>
            </w:r>
          </w:p>
        </w:tc>
      </w:tr>
      <w:tr w14:paraId="39ABC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ECB85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CITATION.cff</w:t>
            </w:r>
          </w:p>
        </w:tc>
        <w:tc>
          <w:tcPr>
            <w:tcW w:w="4535" w:type="dxa"/>
            <w:vAlign w:val="center"/>
          </w:tcPr>
          <w:p w14:paraId="3C4CF8A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docs/assets/intent-action-evolution-poster.jpg</w:t>
            </w:r>
          </w:p>
        </w:tc>
      </w:tr>
      <w:tr w14:paraId="29362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A78A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CONTRIBUTING.md</w:t>
            </w:r>
          </w:p>
        </w:tc>
        <w:tc>
          <w:tcPr>
            <w:tcW w:w="4535" w:type="dxa"/>
            <w:vAlign w:val="center"/>
          </w:tcPr>
          <w:p w14:paraId="4C3BB8D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docs/assets/intent-action-evolution.mp4</w:t>
            </w:r>
          </w:p>
        </w:tc>
      </w:tr>
      <w:tr w14:paraId="6FB96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EE9A1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LICENSE</w:t>
            </w:r>
          </w:p>
        </w:tc>
        <w:tc>
          <w:tcPr>
            <w:tcW w:w="4535" w:type="dxa"/>
            <w:vAlign w:val="center"/>
          </w:tcPr>
          <w:p w14:paraId="452B80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docs/assets/latent-geometry/collapse/coordinates-2d.i16</w:t>
            </w:r>
          </w:p>
        </w:tc>
      </w:tr>
      <w:tr w14:paraId="03296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5060A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NOTICE.md</w:t>
            </w:r>
          </w:p>
        </w:tc>
        <w:tc>
          <w:tcPr>
            <w:tcW w:w="4535" w:type="dxa"/>
            <w:vAlign w:val="center"/>
          </w:tcPr>
          <w:p w14:paraId="641BB7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docs/assets/latent-geometry/collapse/coordinates-3d.i16</w:t>
            </w:r>
          </w:p>
        </w:tc>
      </w:tr>
      <w:tr w14:paraId="5BA673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EAB0BE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README.md</w:t>
            </w:r>
          </w:p>
        </w:tc>
        <w:tc>
          <w:tcPr>
            <w:tcW w:w="4535" w:type="dxa"/>
            <w:vAlign w:val="center"/>
          </w:tcPr>
          <w:p w14:paraId="7885CC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docs/assets/latent-geometry/collapse/metadata.json</w:t>
            </w:r>
          </w:p>
        </w:tc>
      </w:tr>
      <w:tr w14:paraId="3F971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FBA768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README_CN.md</w:t>
            </w:r>
          </w:p>
        </w:tc>
        <w:tc>
          <w:tcPr>
            <w:tcW w:w="4535" w:type="dxa"/>
            <w:vAlign w:val="center"/>
          </w:tcPr>
          <w:p w14:paraId="40626B2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docs/assets/latent-geometry/complete/coordinates-2d.i16</w:t>
            </w:r>
          </w:p>
        </w:tc>
      </w:tr>
      <w:tr w14:paraId="25485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D9014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assets/action-family-alignment.png</w:t>
            </w:r>
          </w:p>
        </w:tc>
        <w:tc>
          <w:tcPr>
            <w:tcW w:w="4535" w:type="dxa"/>
            <w:vAlign w:val="center"/>
          </w:tcPr>
          <w:p w14:paraId="7E8F79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docs/assets/latent-geometry/complete/coordinates-3d.i16</w:t>
            </w:r>
          </w:p>
        </w:tc>
      </w:tr>
      <w:tr w14:paraId="5DB93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F7185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assets/direct-control-results.png</w:t>
            </w:r>
          </w:p>
        </w:tc>
        <w:tc>
          <w:tcPr>
            <w:tcW w:w="4535" w:type="dxa"/>
            <w:vAlign w:val="center"/>
          </w:tcPr>
          <w:p w14:paraId="2B0510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docs/assets/latent-geometry/complete/metadata.json</w:t>
            </w:r>
          </w:p>
        </w:tc>
      </w:tr>
      <w:tr w14:paraId="1F1A8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4C70C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assets/intact-mark.png</w:t>
            </w:r>
          </w:p>
        </w:tc>
        <w:tc>
          <w:tcPr>
            <w:tcW w:w="4535" w:type="dxa"/>
            <w:vAlign w:val="center"/>
          </w:tcPr>
          <w:p w14:paraId="045ADF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docs/assets/latent-geometry/manifest.json</w:t>
            </w:r>
          </w:p>
        </w:tc>
      </w:tr>
      <w:tr w14:paraId="64777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6FBC0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assets/intact-teaser.png</w:t>
            </w:r>
          </w:p>
        </w:tc>
        <w:tc>
          <w:tcPr>
            <w:tcW w:w="4535" w:type="dxa"/>
            <w:vAlign w:val="center"/>
          </w:tcPr>
          <w:p w14:paraId="560FE15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docs/assets/latent-geometry/partial/coordinates-2d.i16</w:t>
            </w:r>
          </w:p>
        </w:tc>
      </w:tr>
      <w:tr w14:paraId="12BFB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E3CDF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assets/intact-wordmark.png</w:t>
            </w:r>
          </w:p>
        </w:tc>
        <w:tc>
          <w:tcPr>
            <w:tcW w:w="4535" w:type="dxa"/>
            <w:vAlign w:val="center"/>
          </w:tcPr>
          <w:p w14:paraId="5931B8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docs/assets/latent-geometry/partial/coordinates-3d.i16</w:t>
            </w:r>
          </w:p>
        </w:tc>
      </w:tr>
      <w:tr w14:paraId="2E8DA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6BF18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assets/shared-encoder-method.png</w:t>
            </w:r>
          </w:p>
        </w:tc>
        <w:tc>
          <w:tcPr>
            <w:tcW w:w="4535" w:type="dxa"/>
            <w:vAlign w:val="center"/>
          </w:tcPr>
          <w:p w14:paraId="48226D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docs/assets/latent-geometry/partial/metadata.json</w:t>
            </w:r>
          </w:p>
        </w:tc>
      </w:tr>
      <w:tr w14:paraId="2BDD7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8605A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assets/shared-encoder-results.png</w:t>
            </w:r>
          </w:p>
        </w:tc>
        <w:tc>
          <w:tcPr>
            <w:tcW w:w="4535" w:type="dxa"/>
            <w:vAlign w:val="center"/>
          </w:tcPr>
          <w:p w14:paraId="59E584C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docs/assets/roboparty-lab-logo.png</w:t>
            </w:r>
          </w:p>
        </w:tc>
      </w:tr>
      <w:tr w14:paraId="057BF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EBC1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docs/.nojekyll</w:t>
            </w:r>
          </w:p>
        </w:tc>
        <w:tc>
          <w:tcPr>
            <w:tcW w:w="4535" w:type="dxa"/>
            <w:vAlign w:val="center"/>
          </w:tcPr>
          <w:p w14:paraId="1EB4F7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docs/assets/roboparty-nav-mark.png</w:t>
            </w:r>
          </w:p>
        </w:tc>
      </w:tr>
      <w:tr w14:paraId="12717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2B6D60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docs/METHOD.md</w:t>
            </w:r>
          </w:p>
        </w:tc>
        <w:tc>
          <w:tcPr>
            <w:tcW w:w="4535" w:type="dxa"/>
            <w:vAlign w:val="center"/>
          </w:tcPr>
          <w:p w14:paraId="18325C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docs/assets/shared-encoder-method.png</w:t>
            </w:r>
          </w:p>
        </w:tc>
      </w:tr>
      <w:tr w14:paraId="44A5B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6A9614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docs/RELEASE.md</w:t>
            </w:r>
          </w:p>
        </w:tc>
        <w:tc>
          <w:tcPr>
            <w:tcW w:w="4535" w:type="dxa"/>
            <w:vAlign w:val="center"/>
          </w:tcPr>
          <w:p w14:paraId="330FD2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docs/assets/shared-encoder-results.png</w:t>
            </w:r>
          </w:p>
        </w:tc>
      </w:tr>
      <w:tr w14:paraId="71FEE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D193E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docs/REPRODUCIBILITY.md</w:t>
            </w:r>
          </w:p>
        </w:tc>
        <w:tc>
          <w:tcPr>
            <w:tcW w:w="4535" w:type="dxa"/>
            <w:vAlign w:val="center"/>
          </w:tcPr>
          <w:p w14:paraId="229058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docs/assets/tsinghua-nav-mark.png</w:t>
            </w:r>
          </w:p>
        </w:tc>
      </w:tr>
      <w:tr w14:paraId="5A44A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D13817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docs/RESULTS.md</w:t>
            </w:r>
          </w:p>
        </w:tc>
        <w:tc>
          <w:tcPr>
            <w:tcW w:w="4535" w:type="dxa"/>
            <w:vAlign w:val="center"/>
          </w:tcPr>
          <w:p w14:paraId="0881DE3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docs/assets/tsinghua-university-logo.jpg</w:t>
            </w:r>
          </w:p>
        </w:tc>
      </w:tr>
      <w:tr w14:paraId="560F9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BF2491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docs/WEBSITE.md</w:t>
            </w:r>
          </w:p>
        </w:tc>
        <w:tc>
          <w:tcPr>
            <w:tcW w:w="4535" w:type="dxa"/>
            <w:vAlign w:val="center"/>
          </w:tcPr>
          <w:p w14:paraId="7140EA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docs/assets/zhejiang-university-logo.png</w:t>
            </w:r>
          </w:p>
        </w:tc>
      </w:tr>
      <w:tr w14:paraId="3D287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01F28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docs/action-alignment.js</w:t>
            </w:r>
          </w:p>
        </w:tc>
        <w:tc>
          <w:tcPr>
            <w:tcW w:w="4535" w:type="dxa"/>
            <w:vAlign w:val="center"/>
          </w:tcPr>
          <w:p w14:paraId="59DC29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docs/assets/zju-nav-mark.png</w:t>
            </w:r>
          </w:p>
        </w:tc>
      </w:tr>
      <w:tr w14:paraId="43553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6762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docs/assets/action-alignment-e5.json</w:t>
            </w:r>
          </w:p>
        </w:tc>
        <w:tc>
          <w:tcPr>
            <w:tcW w:w="4535" w:type="dxa"/>
            <w:vAlign w:val="center"/>
          </w:tcPr>
          <w:p w14:paraId="08BB3B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docs/hero-particles.js</w:t>
            </w:r>
          </w:p>
        </w:tc>
      </w:tr>
      <w:tr w14:paraId="5319F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AE041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docs/assets/action-family-alignment.png</w:t>
            </w:r>
          </w:p>
        </w:tc>
        <w:tc>
          <w:tcPr>
            <w:tcW w:w="4535" w:type="dxa"/>
            <w:vAlign w:val="center"/>
          </w:tcPr>
          <w:p w14:paraId="5C1FF4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docs/index.html</w:t>
            </w:r>
          </w:p>
        </w:tc>
      </w:tr>
      <w:tr w14:paraId="6CCA3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3C8F3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docs/assets/cka-sr-evolution-poster.jpg</w:t>
            </w:r>
          </w:p>
        </w:tc>
        <w:tc>
          <w:tcPr>
            <w:tcW w:w="4535" w:type="dxa"/>
            <w:vAlign w:val="center"/>
          </w:tcPr>
          <w:p w14:paraId="48D73B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docs/latent-viewer.js</w:t>
            </w:r>
          </w:p>
        </w:tc>
      </w:tr>
      <w:tr w14:paraId="54EC4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A08E9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docs/assets/cka-sr-evolution.mp4</w:t>
            </w:r>
          </w:p>
        </w:tc>
        <w:tc>
          <w:tcPr>
            <w:tcW w:w="4535" w:type="dxa"/>
            <w:vAlign w:val="center"/>
          </w:tcPr>
          <w:p w14:paraId="2CF6A7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docs/site.css</w:t>
            </w:r>
          </w:p>
        </w:tc>
      </w:tr>
      <w:tr w14:paraId="26CE6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4C71B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docs/assets/direct-control-results.png</w:t>
            </w:r>
          </w:p>
        </w:tc>
        <w:tc>
          <w:tcPr>
            <w:tcW w:w="4535" w:type="dxa"/>
            <w:vAlign w:val="center"/>
          </w:tcPr>
          <w:p w14:paraId="7B3924A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docs/site.js</w:t>
            </w:r>
          </w:p>
        </w:tc>
      </w:tr>
      <w:tr w14:paraId="7BE4B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DA262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docs/assets/geometry-regimes-poster.jpg</w:t>
            </w:r>
          </w:p>
        </w:tc>
        <w:tc>
          <w:tcPr>
            <w:tcW w:w="4535" w:type="dxa"/>
            <w:vAlign w:val="center"/>
          </w:tcPr>
          <w:p w14:paraId="3DEA556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docs/vendor/three/LICENSE.txt</w:t>
            </w:r>
          </w:p>
        </w:tc>
      </w:tr>
      <w:tr w14:paraId="6F176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C479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docs/assets/geometry-regimes.mp4</w:t>
            </w:r>
          </w:p>
        </w:tc>
        <w:tc>
          <w:tcPr>
            <w:tcW w:w="4535" w:type="dxa"/>
            <w:vAlign w:val="center"/>
          </w:tcPr>
          <w:p w14:paraId="7EDBC0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docs/vendor/three/OrbitControls.js</w:t>
            </w:r>
          </w:p>
        </w:tc>
      </w:tr>
      <w:tr w14:paraId="53927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DDAE6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docs/assets/goal-intact-alignment.json</w:t>
            </w:r>
          </w:p>
        </w:tc>
        <w:tc>
          <w:tcPr>
            <w:tcW w:w="4535" w:type="dxa"/>
            <w:vAlign w:val="center"/>
          </w:tcPr>
          <w:p w14:paraId="0557FD2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docs/vendor/three/three.core.min.js</w:t>
            </w:r>
          </w:p>
        </w:tc>
      </w:tr>
      <w:tr w14:paraId="5B304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5DA03C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docs/assets/hero-sne-bg.jpg</w:t>
            </w:r>
          </w:p>
        </w:tc>
        <w:tc>
          <w:tcPr>
            <w:tcW w:w="4535" w:type="dxa"/>
            <w:vAlign w:val="center"/>
          </w:tcPr>
          <w:p w14:paraId="3A4DA5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docs/vendor/three/three.module.min.js</w:t>
            </w:r>
          </w:p>
        </w:tc>
      </w:tr>
      <w:tr w14:paraId="1FE07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087B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docs/assets/inspatio-logo.png</w:t>
            </w:r>
          </w:p>
        </w:tc>
        <w:tc>
          <w:tcPr>
            <w:tcW w:w="4535" w:type="dxa"/>
            <w:vAlign w:val="center"/>
          </w:tcPr>
          <w:p w14:paraId="13B037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tools/build_website_films.py</w:t>
            </w:r>
          </w:p>
        </w:tc>
      </w:tr>
      <w:tr w14:paraId="38BD0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7E03A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docs/assets/inspatio-nav-mark.png</w:t>
            </w:r>
          </w:p>
        </w:tc>
        <w:tc>
          <w:tcPr>
            <w:tcW w:w="4535" w:type="dxa"/>
            <w:vAlign w:val="center"/>
          </w:tcPr>
          <w:p w14:paraId="5311D46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tools/check_release.py</w:t>
            </w:r>
          </w:p>
        </w:tc>
      </w:tr>
      <w:tr w14:paraId="32A7E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2E05DD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docs/assets/intact-hero-film-20260729beifen.mp4</w:t>
            </w:r>
          </w:p>
        </w:tc>
        <w:tc>
          <w:tcPr>
            <w:tcW w:w="4535" w:type="dxa"/>
            <w:vAlign w:val="center"/>
          </w:tcPr>
          <w:p w14:paraId="63103C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tools/export_action_alignment.py</w:t>
            </w:r>
          </w:p>
        </w:tc>
      </w:tr>
      <w:tr w14:paraId="67B30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DD31E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docs/assets/intact-hero-film-20260730.mp4</w:t>
            </w:r>
          </w:p>
        </w:tc>
        <w:tc>
          <w:tcPr>
            <w:tcW w:w="4535" w:type="dxa"/>
            <w:vAlign w:val="center"/>
          </w:tcPr>
          <w:p w14:paraId="797AEB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tools/export_latent_geometry.py</w:t>
            </w:r>
          </w:p>
        </w:tc>
      </w:tr>
      <w:tr w14:paraId="23525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3CB903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docs/assets/intact-hero-film-poster-20260730.jpg</w:t>
            </w:r>
          </w:p>
        </w:tc>
        <w:tc>
          <w:tcPr>
            <w:tcW w:w="4535" w:type="dxa"/>
            <w:vAlign w:val="center"/>
          </w:tcPr>
          <w:p w14:paraId="4679A6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</w:p>
        </w:tc>
      </w:tr>
    </w:tbl>
    <w:p w14:paraId="5170C05B"/>
    <w:sectPr>
      <w:footerReference r:id="rId6" w:type="default"/>
      <w:pgSz w:w="11906" w:h="16838"/>
      <w:pgMar w:top="1417" w:right="1417" w:bottom="1417" w:left="1417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4235D">
    <w:pPr>
      <w:pStyle w:val="2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760C3C">
    <w:pPr>
      <w:pStyle w:val="24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B8B1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/>
    <w:lsdException w:unhideWhenUsed="0" w:uiPriority="0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spacing w:before="0" w:after="0" w:line="360" w:lineRule="auto"/>
      <w:jc w:val="both"/>
    </w:pPr>
    <w:rPr>
      <w:rFonts w:ascii="Times New Roman" w:hAnsi="Times New Roman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320" w:after="16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40" w:after="120"/>
      <w:jc w:val="left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80"/>
      <w:jc w:val="left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uiPriority w:val="0"/>
    <w:pPr>
      <w:tabs>
        <w:tab w:val="right" w:leader="dot" w:pos="9072"/>
      </w:tabs>
      <w:spacing w:before="0" w:after="0" w:line="240" w:lineRule="auto"/>
      <w:ind w:left="0" w:leftChars="0" w:firstLine="0" w:firstLineChars="0"/>
    </w:pPr>
    <w:rPr>
      <w:rFonts w:ascii="Times New Roman" w:hAnsi="Times New Roman" w:eastAsia="宋体"/>
      <w:color w:val="000000"/>
      <w:sz w:val="24"/>
      <w:szCs w:val="24"/>
    </w:rPr>
  </w:style>
  <w:style w:type="paragraph" w:styleId="27">
    <w:name w:val="Subtitle"/>
    <w:basedOn w:val="1"/>
    <w:next w:val="1"/>
    <w:link w:val="144"/>
    <w:qFormat/>
    <w:uiPriority w:val="11"/>
    <w:pPr>
      <w:keepNext w:val="0"/>
      <w:spacing w:before="0" w:after="240"/>
      <w:jc w:val="center"/>
    </w:pPr>
    <w:rPr>
      <w:rFonts w:ascii="Times New Roman" w:hAnsi="Times New Roman" w:eastAsia="楷体"/>
      <w:i/>
      <w:iCs/>
      <w:color w:val="000000"/>
      <w:spacing w:val="15"/>
      <w:sz w:val="24"/>
      <w:szCs w:val="24"/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uiPriority w:val="0"/>
    <w:pPr>
      <w:tabs>
        <w:tab w:val="right" w:leader="dot" w:pos="9072"/>
      </w:tabs>
      <w:spacing w:before="0" w:after="0" w:line="240" w:lineRule="auto"/>
      <w:ind w:left="420" w:leftChars="0" w:firstLine="0" w:firstLineChars="0"/>
    </w:pPr>
    <w:rPr>
      <w:rFonts w:ascii="Times New Roman" w:hAnsi="Times New Roman" w:eastAsia="宋体"/>
      <w:color w:val="000000"/>
      <w:sz w:val="24"/>
      <w:szCs w:val="24"/>
    </w:r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keepNext w:val="0"/>
      <w:pBdr>
        <w:bottom w:val="single" w:color="4F81BD" w:themeColor="accent1" w:sz="8" w:space="4"/>
      </w:pBdr>
      <w:spacing w:before="0" w:after="360" w:line="240" w:lineRule="auto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40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刘鹏</cp:lastModifiedBy>
  <dcterms:modified xsi:type="dcterms:W3CDTF">2026-10-05T06:35:09Z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5E428592F91B45979E0D025AA9B4D001_12</vt:lpwstr>
  </property>
</Properties>
</file>