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BE4F0">
      <w:pPr>
        <w:pStyle w:val="33"/>
        <w:spacing w:before="3000"/>
      </w:pPr>
      <w:bookmarkStart w:id="10" w:name="_GoBack"/>
      <w:bookmarkEnd w:id="10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41F9B43E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LabWeft</w:t>
      </w:r>
    </w:p>
    <w:p w14:paraId="7B508E9F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0E013A0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仓库地址：https://github.com/Roboparty/LabWeft</w:t>
      </w:r>
    </w:p>
    <w:p w14:paraId="37B2D9A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508600C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1A3296B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621A521F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_Toc9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B1DF59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_Toc13937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_Toc13937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693A6B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_Toc2652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_Toc2652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69FAD8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_Toc2593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_Toc2593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D94148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_Toc13684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_Toc13684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4C783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_Toc7180 </w:instrText>
      </w:r>
      <w:r>
        <w:rPr>
          <w:rFonts w:ascii="Times New Roman" w:hAnsi="Times New Roman" w:eastAsia="宋体"/>
        </w:rPr>
        <w:fldChar w:fldCharType="separate"/>
      </w:r>
      <w:r>
        <w:t>examples/</w:t>
      </w:r>
      <w:r>
        <w:tab/>
      </w:r>
      <w:r>
        <w:fldChar w:fldCharType="begin"/>
      </w:r>
      <w:r>
        <w:instrText xml:space="preserve"> PAGEREF _Toc7180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7CFAE6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_Toc13630 </w:instrText>
      </w:r>
      <w:r>
        <w:rPr>
          <w:rFonts w:ascii="Times New Roman" w:hAnsi="Times New Roman" w:eastAsia="宋体"/>
        </w:rPr>
        <w:fldChar w:fldCharType="separate"/>
      </w:r>
      <w:r>
        <w:t>research_harness/</w:t>
      </w:r>
      <w:r>
        <w:tab/>
      </w:r>
      <w:r>
        <w:fldChar w:fldCharType="begin"/>
      </w:r>
      <w:r>
        <w:instrText xml:space="preserve"> PAGEREF _Toc13630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6ABB49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_Toc11946 </w:instrText>
      </w:r>
      <w:r>
        <w:rPr>
          <w:rFonts w:ascii="Times New Roman" w:hAnsi="Times New Roman" w:eastAsia="宋体"/>
        </w:rPr>
        <w:fldChar w:fldCharType="separate"/>
      </w:r>
      <w:r>
        <w:t>tests/</w:t>
      </w:r>
      <w:r>
        <w:tab/>
      </w:r>
      <w:r>
        <w:fldChar w:fldCharType="begin"/>
      </w:r>
      <w:r>
        <w:instrText xml:space="preserve"> PAGEREF _Toc11946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9032A9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_Toc12178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_Toc12178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C80E04F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_Toc28868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_Toc28868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1831FBE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2EAA2B3C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A1274FA">
      <w:pPr>
        <w:pStyle w:val="3"/>
      </w:pPr>
      <w:bookmarkStart w:id="0" w:name="_Toc9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F57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B55CA7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5066B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A771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218B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3D1FED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LabWeft</w:t>
            </w:r>
          </w:p>
        </w:tc>
      </w:tr>
      <w:tr w14:paraId="4ED5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F441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101536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https://github.com/Roboparty/LabWeft</w:t>
            </w:r>
          </w:p>
        </w:tc>
      </w:tr>
      <w:tr w14:paraId="61CA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6C838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0B2840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 第三方工具与社区复现</w:t>
            </w:r>
          </w:p>
        </w:tc>
      </w:tr>
      <w:tr w14:paraId="3EF7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3C65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09B48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39CE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5151C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22AE6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MIT</w:t>
            </w:r>
          </w:p>
        </w:tc>
      </w:tr>
      <w:tr w14:paraId="6798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AF2F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065F5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  <w:tr w14:paraId="5733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3499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6C4B93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BCB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66600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73B6A0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1B62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282BE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01347D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2026-09-27</w:t>
            </w:r>
          </w:p>
        </w:tc>
      </w:tr>
      <w:tr w14:paraId="3276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0526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20C5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2026-10-03</w:t>
            </w:r>
          </w:p>
        </w:tc>
      </w:tr>
      <w:tr w14:paraId="3431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1A8E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047B2C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2026-10-03</w:t>
            </w:r>
          </w:p>
        </w:tc>
      </w:tr>
      <w:tr w14:paraId="7717A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2B86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60D14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</w:t>
            </w:r>
          </w:p>
        </w:tc>
      </w:tr>
      <w:tr w14:paraId="58C2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DA7E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056282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</w:tr>
      <w:tr w14:paraId="5276B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C40F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017F2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</w:tr>
    </w:tbl>
    <w:p w14:paraId="6C13678C"/>
    <w:p w14:paraId="009E45FF">
      <w:pPr>
        <w:ind w:firstLine="480" w:firstLineChars="200"/>
      </w:pPr>
      <w:r>
        <w:t>本仓是 RoboParty 组织下的 LabWeft 仓库，README 自述其定位为「把实验编织成理解」：为编码代理提供一个本地研究工作站、证据地图与配套技能，把实验、结果与研究决策转成相互链接、可探查的记录。README 标注其形态为 Python 3.11+、MIT、Local first、Alpha 0.1.0，并说明工作分工是「宿主编码代理负责解释，LabWeft 负责保存记录」。</w:t>
      </w:r>
    </w:p>
    <w:p w14:paraId="6FDAFAD1">
      <w:pPr>
        <w:ind w:firstLine="480" w:firstLineChars="200"/>
      </w:pPr>
      <w:r>
        <w:t>仓库共 163 个受控文件、34 个目录、21 个顶层条目。顶层由 .github、docs、examples、research_harness、tests 五个目录，以及 .gitattributes、.gitignore、ACKNOWLEDGEMENTS.md、AGENTS.md、CHANGELOG.md、CONTRIBUTING.md、LICENSE、MANIFEST.in、README.md、README.zh-CN.md、SECURITY.md、SECURITY.zh-CN.md、bootstrap.py、labweft.py、pyproject.toml、rh.py 十六个文件组成。其中 examples/ 递归 87 个文件、docs/ 递归 31 个文件、research_harness/ 递归 22 个文件，代码主体在 research_harness/ 与 labweft.py、rh.py、bootstrap.py 三个入口脚本。</w:t>
      </w:r>
    </w:p>
    <w:p w14:paraId="3ACAFD24">
      <w:pPr>
        <w:ind w:firstLine="480" w:firstLineChars="200"/>
      </w:pPr>
      <w:r>
        <w:t>README 用一张表列出六类视图：研究地图（语义大纲与可展开的交互式研究树）、实验谱系（记录父版本、次级引用与运行级派生，并解释变化与结果）、证据（带来源链接的文本快照与哈希，含失败与缺失或变更的证据）、条件对比（实验条件 Cells 与运行，含范围检查与种子级统计）、结论与决策（有证据支撑的结论、其边界及其影响的研究选择）、时间线（按来源日期排序的研究事件与工作区更新历史，支持模块筛选）。界面默认中文、可切换英文，多个独立项目可共用一个本地站点并用项目选择器切换。</w:t>
      </w:r>
    </w:p>
    <w:p w14:paraId="54DFADDD">
      <w:pPr>
        <w:ind w:firstLine="480" w:firstLineChars="200"/>
      </w:pPr>
      <w:r>
        <w:t>README 给出三层使用路径：快速开始用 labweft.py demo --scenario research-tree ./tree-preview 生成合成工作区并打开只读本地预览（无需模型账号、GPU、Node.js 或前端安装），较小的条件对比示例用 labweft.py demo ./research-demo 加 labweft.py serve；接入自己的项目用 bootstrap.py --project /path/to/project --results /path/to/results --workspace /path/to/workspace --agent codex 安装一个控制器技能并做初始事实扫描，记录存放在工作区 .research 目录下；离线分享用 labweft.py export 或 export-site，并可加 --include-evidence 携带每个项目不超过 5 MiB 的文本快照。</w:t>
      </w:r>
    </w:p>
    <w:p w14:paraId="212C85BE">
      <w:pPr>
        <w:ind w:firstLine="480" w:firstLineChars="200"/>
      </w:pPr>
      <w:r>
        <w:t>README 强调扫描器只收集事实、不依据目录名推断科研地图，科研解读必须由宿主代理给出，并按 research_harness/skill/research-harness/references/PROTOCOL.md 的协议记录；同时声明该仓为 alpha 项目，Python 核心没有强制运行时依赖（Node.js 仅用于前端开发检查），本地服务器为只读并绑定回环地址，未经评审的导出可能含私有研究内容。可选能力是 Shinka 后端（提供可持久化的搜索批次、停止与恢复处理以及候选证据与谱系导入），核心扫描、查看与演示都不依赖它。</w:t>
      </w:r>
    </w:p>
    <w:p w14:paraId="23FCC711">
      <w:pPr>
        <w:ind w:firstLine="480" w:firstLineChars="200"/>
      </w:pPr>
      <w:r>
        <w:t>该仓含 README.md（原文约 7014 字符，本册已读到全文）与简体中文版 README.zh-CN.md；README 覆盖研究树与六类视图、快速开始、接入项目、离线导出、可选 Shinka 自动研究、开发与测试命令，并逐一点名 docs/ 下的 ARCHITECTURE.md、AUTORESEARCH.md、RESEARCH_TREE_DEMO.md、LIMITATIONS.md、RELEASE_GATES.md、HANDOFF.md 以及 SECURITY.md、CONTRIBUTING.md、CHANGELOG.md、ACKNOWLEDGEMENTS.md 与 research_harness/skill/research-harness/references/PROTOCOL.md。</w:t>
      </w:r>
    </w:p>
    <w:p w14:paraId="619FCBB3">
      <w:pPr>
        <w:ind w:firstLine="480" w:firstLineChars="200"/>
      </w:pPr>
      <w:r>
        <w:t>该仓同时维护中英双语文档：SECURITY.zh-CN.md，以及 docs/ 下成对的 ARCHITECTURE、AUTORESEARCH、HANDOFF、LIMITATIONS、RELEASE_GATES、RESEARCH_TREE_DEMO、VALIDATION 各 .zh-CN.md 版本。</w:t>
      </w:r>
    </w:p>
    <w:p w14:paraId="737E2D70">
      <w:pPr>
        <w:ind w:firstLine="480" w:firstLineChars="200"/>
      </w:pPr>
      <w:r>
        <w:t>README 说明 examples 中的内置教学示例含 37 个预置候选、49 次已保存的 CPU 评估与六个研究方向，打开该示例只重放已保存的合成结果，不发起新的模型调用或实验评估；该示例生成的工作区位于本地目录（README 示例写作 ./tree-preview）。</w:t>
      </w:r>
    </w:p>
    <w:p w14:paraId="78B1086F">
      <w:pPr>
        <w:ind w:firstLine="480" w:firstLineChars="200"/>
      </w:pPr>
      <w:r>
        <w:t>README 也明确列出尚未完成认证的部分：全新会话中的自动技能发现，以及各种客户端与平台组合，均未完成认证。</w:t>
      </w:r>
    </w:p>
    <w:p w14:paraId="390D8CAB">
      <w:pPr>
        <w:pStyle w:val="3"/>
      </w:pPr>
      <w:bookmarkStart w:id="1" w:name="_Toc13937"/>
      <w:r>
        <w:t>二、顶层条目索引</w:t>
      </w:r>
      <w:bookmarkEnd w:id="1"/>
    </w:p>
    <w:p w14:paraId="022D415C">
      <w:pPr>
        <w:ind w:firstLine="480" w:firstLineChars="200"/>
      </w:pPr>
      <w:r>
        <w:t>下表列出仓库根目录下的全部顶层条目（共 21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55642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56D14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55C6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5870C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1652F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CBE0A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B89D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142E6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0F0A2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202FE15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6236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3AE99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43F9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D72B3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7943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DF56B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84B20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50587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协作配置目录，无直接文件，下设 workflows/ 一个子目录，递归 1 个 .yml。README 未说明该目录。</w:t>
            </w:r>
          </w:p>
        </w:tc>
      </w:tr>
      <w:tr w14:paraId="1F196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875FA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49BB29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416D3A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BD6A2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9D91B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2385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24688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0CB7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ACKNOWLEDGEMENTS.md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6F5FF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FA61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53D8C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上游影响与依赖的致谢名单；README 末段指向该文件（See acknowledgements for upstream influences and dependencies）。</w:t>
            </w:r>
          </w:p>
        </w:tc>
      </w:tr>
      <w:tr w14:paraId="7AA09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75F1B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370360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AGENTS.md</w:t>
            </w:r>
          </w:p>
        </w:tc>
        <w:tc>
          <w:tcPr>
            <w:tcW w:w="794" w:type="dxa"/>
            <w:vAlign w:val="center"/>
          </w:tcPr>
          <w:p w14:paraId="41FFB4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5ABE4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CEC6E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面向自动化代理的项目说明；README 未点名该文件，依文件名与生成器内置说明判断为给 AI 编码代理的仓库约定。</w:t>
            </w:r>
          </w:p>
        </w:tc>
      </w:tr>
      <w:tr w14:paraId="053C8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032C7B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6EB7E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CHANGELOG.md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2A5CC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C6501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FBF3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版本变更日志；README 的 Read more 表中以「项目连续性与最近变更」指向该文件。</w:t>
            </w:r>
          </w:p>
        </w:tc>
      </w:tr>
      <w:tr w14:paraId="6920E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F5B38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B74E0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CONTRIBUTING.md</w:t>
            </w:r>
          </w:p>
        </w:tc>
        <w:tc>
          <w:tcPr>
            <w:tcW w:w="794" w:type="dxa"/>
            <w:vAlign w:val="center"/>
          </w:tcPr>
          <w:p w14:paraId="460CE8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36808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FED9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贡献指南；README 在导航与 Read more 表中指向该文件，说明隐私边界与贡献流程在此。</w:t>
            </w:r>
          </w:p>
        </w:tc>
      </w:tr>
      <w:tr w14:paraId="6379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90CC1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5880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E7ACD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A7722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F974F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MIT 许可证正文；README 末段说明本仓为 MIT 许可下的 alpha 开源项目。</w:t>
            </w:r>
          </w:p>
        </w:tc>
      </w:tr>
      <w:tr w14:paraId="1ED8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E5650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255637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MANIFEST.in</w:t>
            </w:r>
          </w:p>
        </w:tc>
        <w:tc>
          <w:tcPr>
            <w:tcW w:w="794" w:type="dxa"/>
            <w:vAlign w:val="center"/>
          </w:tcPr>
          <w:p w14:paraId="7CDB67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89590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E8715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未说明该文件，依文件名推断为 Python 打包时纳入分发包的文件清单。</w:t>
            </w:r>
          </w:p>
        </w:tc>
      </w:tr>
      <w:tr w14:paraId="6F31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7A7865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24425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237B3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A84D8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137F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仓库说明文档（英文），介绍定位、六类视图、接入方式与开发命令。</w:t>
            </w:r>
          </w:p>
        </w:tc>
      </w:tr>
      <w:tr w14:paraId="468E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E3A37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3250F7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README.zh-CN.md</w:t>
            </w:r>
          </w:p>
        </w:tc>
        <w:tc>
          <w:tcPr>
            <w:tcW w:w="794" w:type="dxa"/>
            <w:vAlign w:val="center"/>
          </w:tcPr>
          <w:p w14:paraId="6B7A432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802CB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31712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的简体中文版；README 顶部语言栏提供 简体中文 链接指向该文件。</w:t>
            </w:r>
          </w:p>
        </w:tc>
      </w:tr>
      <w:tr w14:paraId="07A5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91E85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90E72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SECURITY.md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794F7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66B6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DF55D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安全与隐私边界说明；README 的 Read more 表以「Privacy boundaries and contribution workflow」指向 SECURITY.md 与 CONTRIBUTING.md。</w:t>
            </w:r>
          </w:p>
        </w:tc>
      </w:tr>
      <w:tr w14:paraId="0E97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BE588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6A51F6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SECURITY.zh-CN.md</w:t>
            </w:r>
          </w:p>
        </w:tc>
        <w:tc>
          <w:tcPr>
            <w:tcW w:w="794" w:type="dxa"/>
            <w:vAlign w:val="center"/>
          </w:tcPr>
          <w:p w14:paraId="701FCE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6F1F7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7EC0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未点名该文件，依文件名推断为 SECURITY.md 的简体中文版（该仓同时维护中英双语文档）。</w:t>
            </w:r>
          </w:p>
        </w:tc>
      </w:tr>
      <w:tr w14:paraId="4B73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B613F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8624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bootstrap.py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1C9C3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E6528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6867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项目接入引导脚本；README 给出用法 python bootstrap.py --project 项目路径 --results 结果路径 --workspace 工作区路径 --agent codex，说明它会安装一个控制器技能并执行初始事实扫描，且 --agent claude 与 --agent generic 提供其他安装布局。</w:t>
            </w:r>
          </w:p>
        </w:tc>
      </w:tr>
      <w:tr w14:paraId="1FEA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081EF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54EFA7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2F79D6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58FB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31 个文件 / 2 个子目录</w:t>
            </w:r>
          </w:p>
        </w:tc>
        <w:tc>
          <w:tcPr>
            <w:tcW w:w="3685" w:type="dxa"/>
            <w:vAlign w:val="center"/>
          </w:tcPr>
          <w:p w14:paraId="278AC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文档目录，15 个直接 .md：ARCHITECTURE.md、ARCHITECTURE.zh-CN.md、AUTORESEARCH.md、AUTORESEARCH.zh-CN.md、BRAND.md、HANDOFF.md、HANDOFF.zh-CN.md、LIMITATIONS.md、LIMITATIONS.zh-CN.md、RELEASE_GATES.md、RELEASE_GATES.zh-CN.md、RESEARCH_TREE_DEMO.md、RESEARCH_TREE_DEMO.zh-CN.md、VALIDATION.md、VALIDATION.zh-CN.md；下设 assets/ 与 validation/ 两个子目录，递归 31 个文件。README 的 Read more 表逐项指向本目录的 ARCHITECTURE.md（存储模型、证据、语义补丁与控制器流程）、RESEARCH_TREE_DEMO.md（研究树示例）、AUTORESEARCH.md（可选执行生命周期及边界）、LIMITATIONS.md 与 RELEASE_GATES.md（已检查项与未决项）、HANDOFF.md，并在导航中指向 docs/AUTORESEARCH.md 与 docs/ARCHITECTURE.md。</w:t>
            </w:r>
          </w:p>
        </w:tc>
      </w:tr>
      <w:tr w14:paraId="6896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F3233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E2A5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examples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217490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5ECC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87 个文件 / 20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3B1B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示例与素材目录，无直接文件，下设 policy-study/ 与 shinka/ 两个子目录，递归 87 个文件（.json=43、无后缀=37、.md=3、.py=3、.html=1）。README 提到仓库内置一个教学示例（含 37 个预置候选、49 次已保存的 CPU 评估与六个研究方向，打开时只重放已保存的合成结果，不发起新的模型调用或实验评估），并提到可选的 Shinka 后端；本目录依文件名推断为其素材与工程存放处。</w:t>
            </w:r>
          </w:p>
        </w:tc>
      </w:tr>
      <w:tr w14:paraId="05DBF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2E681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23A98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labweft.py</w:t>
            </w:r>
          </w:p>
        </w:tc>
        <w:tc>
          <w:tcPr>
            <w:tcW w:w="794" w:type="dxa"/>
            <w:vAlign w:val="center"/>
          </w:tcPr>
          <w:p w14:paraId="7CBC3E1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1FD6A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9AC7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命令行主入口；README 用它执行 demo（生成合成工作区并打开只读本地预览）、serve（启动本地只读服务）、export 与 export-site（离线导出、可选携带证据）、research（可选 Shinka 后端自动研究）。</w:t>
            </w:r>
          </w:p>
        </w:tc>
      </w:tr>
      <w:tr w14:paraId="256B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567EE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0684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14B59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F38C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2D63A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项目配置，声明依赖与打包方式；README 说明可用 python -m pip install . 安装本地检出，可选 Shinka 后端则以附加依赖 shinka 的方式安装（README 原文写作 pip install 加点方括号 shinka，该仓未发布到 PyPI）。</w:t>
            </w:r>
          </w:p>
        </w:tc>
      </w:tr>
      <w:tr w14:paraId="5DF9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22DA4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</w:t>
            </w:r>
          </w:p>
        </w:tc>
        <w:tc>
          <w:tcPr>
            <w:tcW w:w="2268" w:type="dxa"/>
            <w:vAlign w:val="center"/>
          </w:tcPr>
          <w:p w14:paraId="5BDD1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research_harness</w:t>
            </w:r>
          </w:p>
        </w:tc>
        <w:tc>
          <w:tcPr>
            <w:tcW w:w="794" w:type="dxa"/>
            <w:vAlign w:val="center"/>
          </w:tcPr>
          <w:p w14:paraId="568714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D873F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 个文件 / 6 个子目录</w:t>
            </w:r>
          </w:p>
        </w:tc>
        <w:tc>
          <w:tcPr>
            <w:tcW w:w="3685" w:type="dxa"/>
            <w:vAlign w:val="center"/>
          </w:tcPr>
          <w:p w14:paraId="17057D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研究工作站实现包目录，12 个直接 .py：__init__.py、__main__.py、autoresearch.py、cli.py、demo.py、organization.py、reasoning.py、research_tree_demo.py、research_worker.py、scan.py、server.py、store.py；下设 backends/、fixtures/、skill/、static/ 四个子目录，递归 22 个文件。README 直接给出本目录下的路径 research_harness/skill/research-harness/references/PROTOCOL.md，说明它是记录科研解读的协议文件。</w:t>
            </w:r>
          </w:p>
        </w:tc>
      </w:tr>
      <w:tr w14:paraId="21EC8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30D355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E578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rh.py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F7D9A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0BC43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266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未说明该文件，依文件名与 research_harness 目录名推断为研究工作站流程的简短命令入口。</w:t>
            </w:r>
          </w:p>
        </w:tc>
      </w:tr>
      <w:tr w14:paraId="0508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8876E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</w:t>
            </w:r>
          </w:p>
        </w:tc>
        <w:tc>
          <w:tcPr>
            <w:tcW w:w="2268" w:type="dxa"/>
            <w:vAlign w:val="center"/>
          </w:tcPr>
          <w:p w14:paraId="59DF9E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vAlign w:val="center"/>
          </w:tcPr>
          <w:p w14:paraId="32D153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3C893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vAlign w:val="center"/>
          </w:tcPr>
          <w:p w14:paraId="6706A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测试目录，6 个直接文件：test_autoresearch.py、test_harness.py、test_organization.py、test_research_tree_demo.py 四个 .py，以及 test_relations.cjs、test_research_tree.cjs 两个 .cjs。README 的开发一节给出测试命令 python -m unittest discover -s tests -v 与 node --test tests/test_relations.cjs tests/test_research_tree.cjs。</w:t>
            </w:r>
          </w:p>
        </w:tc>
      </w:tr>
    </w:tbl>
    <w:p w14:paraId="44244EDD">
      <w:pPr>
        <w:pStyle w:val="3"/>
      </w:pPr>
      <w:bookmarkStart w:id="2" w:name="_Toc2652"/>
      <w:r>
        <w:t>三、目录用途说明</w:t>
      </w:r>
      <w:bookmarkEnd w:id="2"/>
    </w:p>
    <w:p w14:paraId="11D95954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75AB6C8A">
      <w:pPr>
        <w:pStyle w:val="4"/>
      </w:pPr>
      <w:bookmarkStart w:id="3" w:name="_Toc2593"/>
      <w:r>
        <w:t>.github/</w:t>
      </w:r>
      <w:bookmarkEnd w:id="3"/>
    </w:p>
    <w:p w14:paraId="61F659F8">
      <w:pPr>
        <w:ind w:firstLine="480" w:firstLineChars="200"/>
      </w:pPr>
      <w:r>
        <w:t>GitHub 协作配置目录，无直接文件，下设 workflows/ 一个子目录，递归 1 个 .yml。README 未说明该目录。</w:t>
      </w:r>
    </w:p>
    <w:p w14:paraId="720064A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54FC2A2E">
      <w:pPr>
        <w:pStyle w:val="5"/>
      </w:pPr>
      <w:r>
        <w:t>.github/workflows/</w:t>
      </w:r>
    </w:p>
    <w:p w14:paraId="49E43E4C">
      <w:pPr>
        <w:ind w:firstLine="480" w:firstLineChars="200"/>
      </w:pPr>
      <w:r>
        <w:t>GitHub Actions 工作流目录，仅 1 个直接文件 tests.yml。README 未说明该目录，依文件名与 README 开发一节的测试命令（python -m unittest discover -s tests 以及 node --test tests 下的 .cjs）推断为持续集成测试工作流。</w:t>
      </w:r>
    </w:p>
    <w:p w14:paraId="33C75EF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B3B6A1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代表文件：tests.yml。</w:t>
      </w:r>
    </w:p>
    <w:p w14:paraId="4EABFA6F">
      <w:pPr>
        <w:pStyle w:val="4"/>
      </w:pPr>
      <w:bookmarkStart w:id="4" w:name="_Toc13684"/>
      <w:r>
        <w:t>docs/</w:t>
      </w:r>
      <w:bookmarkEnd w:id="4"/>
    </w:p>
    <w:p w14:paraId="34361F0B">
      <w:pPr>
        <w:ind w:firstLine="480" w:firstLineChars="200"/>
      </w:pPr>
      <w:r>
        <w:t>文档目录，15 个直接 .md：ARCHITECTURE.md、ARCHITECTURE.zh-CN.md、AUTORESEARCH.md、AUTORESEARCH.zh-CN.md、BRAND.md、HANDOFF.md、HANDOFF.zh-CN.md、LIMITATIONS.md、LIMITATIONS.zh-CN.md、RELEASE_GATES.md、RELEASE_GATES.zh-CN.md、RESEARCH_TREE_DEMO.md、RESEARCH_TREE_DEMO.zh-CN.md、VALIDATION.md、VALIDATION.zh-CN.md；下设 assets/ 与 validation/ 两个子目录，递归 31 个文件。README 的 Read more 表逐项指向本目录的 ARCHITECTURE.md（存储模型、证据、语义补丁与控制器流程）、RESEARCH_TREE_DEMO.md（研究树示例）、AUTORESEARCH.md（可选执行生命周期及边界）、LIMITATIONS.md 与 RELEASE_GATES.md（已检查项与未决项）、HANDOFF.md，并在导航中指向 docs/AUTORESEARCH.md 与 docs/ARCHITECTURE.md。</w:t>
      </w:r>
    </w:p>
    <w:p w14:paraId="377B758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15 个，子目录 2 个；递归共 31 个文件、2 个目录。依据该仓 README 原文</w:t>
      </w:r>
    </w:p>
    <w:p w14:paraId="098BBDD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根层代表文件：ARCHITECTURE.md、ARCHITECTURE.zh-CN.md、AUTORESEARCH.md、AUTORESEARCH.zh-CN.md、BRAND.md、HANDOFF.md、HANDOFF.zh-CN.md、LIMITATIONS.md；另有 7 个直接文件。</w:t>
      </w:r>
    </w:p>
    <w:p w14:paraId="766C8FCE">
      <w:pPr>
        <w:pStyle w:val="5"/>
      </w:pPr>
      <w:r>
        <w:t>docs/assets/</w:t>
      </w:r>
    </w:p>
    <w:p w14:paraId="45B6D478">
      <w:pPr>
        <w:ind w:firstLine="480" w:firstLineChars="200"/>
      </w:pPr>
      <w:r>
        <w:t>文档素材目录，11 个直接文件：labweft-banner.en.png、labweft-banner.en.svg、labweft-banner.zh-CN.png、labweft-banner.zh-CN.svg、labweft-mark.png、labweft-mark.svg、labweft-social-preview.png、cell-comparison.png、research-map.png、research-tree-demo.json 与 research-tree.gif。README 顶部横幅、研究树演示图与界面截图分别引用 docs/assets/labweft-banner.en.png 与 docs/assets/research-tree.gif。</w:t>
      </w:r>
    </w:p>
    <w:p w14:paraId="74433F2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11 个，子目录 0 个；递归共 11 个文件、0 个目录。依据该仓 README 原文</w:t>
      </w:r>
    </w:p>
    <w:p w14:paraId="0A758AD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代表文件：cell-comparison.png、labweft-banner.en.png、labweft-banner.en.svg、labweft-banner.zh-CN.png、labweft-banner.zh-CN.svg、labweft-mark.png、labweft-mark.svg、labweft-social-preview.png；另有 3 个直接文件。</w:t>
      </w:r>
    </w:p>
    <w:p w14:paraId="1F133845">
      <w:pPr>
        <w:pStyle w:val="5"/>
      </w:pPr>
      <w:r>
        <w:t>docs/validation/</w:t>
      </w:r>
    </w:p>
    <w:p w14:paraId="45874A4F">
      <w:pPr>
        <w:ind w:firstLine="480" w:firstLineChars="200"/>
      </w:pPr>
      <w:r>
        <w:t>验证记录目录，5 个直接文件：browser-smoke.json、grouped-relations-20261001.json、research-tree-canvas-20261001.json、shinka-backend-20261001.json 与 unit-tests.txt。README 的 Read more 表指向 docs/VALIDATION.md 与 docs/VALIDATION.zh-CN.md；本目录依文件名与日期戳推断为浏览器冒烟、分组关系、研究树画布、Shinka 后端与单元测试五类验证的原始记录。</w:t>
      </w:r>
    </w:p>
    <w:p w14:paraId="6D326DF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5EEBAD0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代表文件：browser-smoke.json、grouped-relations-20261001.json、research-tree-canvas-20261001.json、shinka-backend-20261001.json、unit-tests.txt。</w:t>
      </w:r>
    </w:p>
    <w:p w14:paraId="28F2F319">
      <w:pPr>
        <w:pStyle w:val="4"/>
      </w:pPr>
      <w:bookmarkStart w:id="5" w:name="_Toc7180"/>
      <w:r>
        <w:t>examples/</w:t>
      </w:r>
      <w:bookmarkEnd w:id="5"/>
    </w:p>
    <w:p w14:paraId="4E30978C">
      <w:pPr>
        <w:ind w:firstLine="480" w:firstLineChars="200"/>
      </w:pPr>
      <w:r>
        <w:t>示例与素材目录，无直接文件，下设 policy-study/ 与 shinka/ 两个子目录，递归 87 个文件（.json=43、无后缀=37、.md=3、.py=3、.html=1）。README 提到仓库内置一个教学示例（含 37 个预置候选、49 次已保存的 CPU 评估与六个研究方向，打开时只重放已保存的合成结果，不发起新的模型调用或实验评估），并提到可选的 Shinka 后端；本目录依文件名推断为其素材与工程存放处。</w:t>
      </w:r>
    </w:p>
    <w:p w14:paraId="0569BD0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87 个文件、20 个目录。README 未说明，依文件名推断</w:t>
      </w:r>
    </w:p>
    <w:p w14:paraId="19C63B44">
      <w:pPr>
        <w:pStyle w:val="5"/>
      </w:pPr>
      <w:r>
        <w:t>examples/policy-study/</w:t>
      </w:r>
    </w:p>
    <w:p w14:paraId="59E87DCC">
      <w:pPr>
        <w:ind w:firstLine="480" w:firstLineChars="200"/>
      </w:pPr>
      <w:r>
        <w:t>策略研究示例工作区，直接文件为 README.md 与 research-notes.md，下设 .research/、code/、results/ 三个子目录，递归 83 个文件（.json=42、无后缀=37、.md=2、.html=1、.py=1）。README 未点名该目录；.research 与 workspace 下记录目录同名，results 与 code 对应 README 所说的项目源码与结果分目录存放，故依文件名推断为按「工具源码、项目源码、私有工作区记录分目录」约定组织的研究示例。</w:t>
      </w:r>
    </w:p>
    <w:p w14:paraId="7AF97BA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3 个；递归共 83 个文件、17 个目录。README 未说明，依文件名推断</w:t>
      </w:r>
    </w:p>
    <w:p w14:paraId="57FCB53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代表文件：README.md、research-notes.md。</w:t>
      </w:r>
    </w:p>
    <w:p w14:paraId="6F7DDCA0">
      <w:pPr>
        <w:pStyle w:val="5"/>
      </w:pPr>
      <w:r>
        <w:t>examples/shinka/</w:t>
      </w:r>
    </w:p>
    <w:p w14:paraId="5AEC02B8">
      <w:pPr>
        <w:ind w:firstLine="480" w:firstLineChars="200"/>
      </w:pPr>
      <w:r>
        <w:t>Shinka 后端示例，直接文件为 README.md 与 campaign.json，下设 task/ 子目录，递归 4 个文件（.py=2、.md=1、.json=1）。README 在「Optional automatic research」一节说明安装 .[shinka] 后可用 python labweft.py research --help，并提醒执行战役前先读后端指南、实时搜索需要单独授权的模型访问与算力；本目录依文件名推断为该后端的示例战役配置与任务脚本。</w:t>
      </w:r>
    </w:p>
    <w:p w14:paraId="45F66A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 个；递归共 4 个文件、1 个目录。README 未说明，依文件名推断</w:t>
      </w:r>
    </w:p>
    <w:p w14:paraId="5AC4018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代表文件：README.md、campaign.json。</w:t>
      </w:r>
    </w:p>
    <w:p w14:paraId="43B3AD63">
      <w:pPr>
        <w:pStyle w:val="4"/>
      </w:pPr>
      <w:bookmarkStart w:id="6" w:name="_Toc13630"/>
      <w:r>
        <w:t>research_harness/</w:t>
      </w:r>
      <w:bookmarkEnd w:id="6"/>
    </w:p>
    <w:p w14:paraId="39AE584E">
      <w:pPr>
        <w:ind w:firstLine="480" w:firstLineChars="200"/>
      </w:pPr>
      <w:r>
        <w:t>研究工作站实现包目录，12 个直接 .py：__init__.py、__main__.py、autoresearch.py、cli.py、demo.py、organization.py、reasoning.py、research_tree_demo.py、research_worker.py、scan.py、server.py、store.py；下设 backends/、fixtures/、skill/、static/ 四个子目录，递归 22 个文件。README 直接给出本目录下的路径 research_harness/skill/research-harness/references/PROTOCOL.md，说明它是记录科研解读的协议文件。</w:t>
      </w:r>
    </w:p>
    <w:p w14:paraId="4F52EC3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4 个；递归共 22 个文件、6 个目录。依据该仓 README 原文</w:t>
      </w:r>
    </w:p>
    <w:p w14:paraId="3128522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根层代表文件：__init__.py、__main__.py、autoresearch.py、cli.py、demo.py、organization.py、reasoning.py、research_tree_demo.py；另有 4 个直接文件。</w:t>
      </w:r>
    </w:p>
    <w:p w14:paraId="7AFE96EA">
      <w:pPr>
        <w:pStyle w:val="5"/>
      </w:pPr>
      <w:r>
        <w:t>research_harness/backends/</w:t>
      </w:r>
    </w:p>
    <w:p w14:paraId="7DEF949A">
      <w:pPr>
        <w:ind w:firstLine="480" w:firstLineChars="200"/>
      </w:pPr>
      <w:r>
        <w:t>可选后端目录，2 个直接 .py：__init__.py 与 shinka.py，无子目录。README 说明可选 Shinka 后端提供可持久化的搜索批次、停止与恢复处理以及候选证据与谱系导入，核心扫描、查看与演示不依赖它；本目录依文件名推断为该后端的接入实现。</w:t>
      </w:r>
    </w:p>
    <w:p w14:paraId="30F74E2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09C0E88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代表文件：__init__.py、shinka.py。</w:t>
      </w:r>
    </w:p>
    <w:p w14:paraId="2015E378">
      <w:pPr>
        <w:pStyle w:val="5"/>
      </w:pPr>
      <w:r>
        <w:t>research_harness/fixtures/</w:t>
      </w:r>
    </w:p>
    <w:p w14:paraId="2E78192C">
      <w:pPr>
        <w:ind w:firstLine="480" w:firstLineChars="200"/>
      </w:pPr>
      <w:r>
        <w:t>测试夹具目录，仅 1 个直接文件 research_tree.json。README 未说明该目录，依文件名与 research_harness/research_tree_demo.py 推断为研究树演示所用的固定数据。</w:t>
      </w:r>
    </w:p>
    <w:p w14:paraId="2563B27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683CD8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代表文件：research_tree.json。</w:t>
      </w:r>
    </w:p>
    <w:p w14:paraId="2E4194B4">
      <w:pPr>
        <w:pStyle w:val="5"/>
      </w:pPr>
      <w:r>
        <w:t>research_harness/skill/</w:t>
      </w:r>
    </w:p>
    <w:p w14:paraId="23903FAE">
      <w:pPr>
        <w:ind w:firstLine="480" w:firstLineChars="200"/>
      </w:pPr>
      <w:r>
        <w:t>随仓分发的技能目录，无直接文件，下设 research-harness/ 子目录，递归 4 个 .md。README 明确给出 research_harness/skill/research-harness/references/PROTOCOL.md，说明该技能协议规定了如何记录宿主代理给出的科研解读，并说明 bootstrap.py 会安装一个控制器技能。</w:t>
      </w:r>
    </w:p>
    <w:p w14:paraId="15CED4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4 个文件、2 个目录。依据该仓 README 原文</w:t>
      </w:r>
    </w:p>
    <w:p w14:paraId="56FA4CCE">
      <w:pPr>
        <w:pStyle w:val="5"/>
      </w:pPr>
      <w:r>
        <w:t>research_harness/static/</w:t>
      </w:r>
    </w:p>
    <w:p w14:paraId="452717AF">
      <w:pPr>
        <w:ind w:firstLine="480" w:firstLineChars="200"/>
      </w:pPr>
      <w:r>
        <w:t>本地站点静态资源目录，3 个直接文件：app.css、app.js 与 index.html，无子目录。README 说明界面默认中文、可切换英文，本地服务器只读并绑定回环地址，离线导出会打包整个界面；本目录依文件名推断为只读预览界面的前端资源。</w:t>
      </w:r>
    </w:p>
    <w:p w14:paraId="4246A67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4B6FD35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代表文件：app.css、app.js、index.html。</w:t>
      </w:r>
    </w:p>
    <w:p w14:paraId="2D22097E">
      <w:pPr>
        <w:pStyle w:val="4"/>
      </w:pPr>
      <w:bookmarkStart w:id="7" w:name="_Toc11946"/>
      <w:r>
        <w:t>tests/</w:t>
      </w:r>
      <w:bookmarkEnd w:id="7"/>
    </w:p>
    <w:p w14:paraId="370937DA">
      <w:pPr>
        <w:ind w:firstLine="480" w:firstLineChars="200"/>
      </w:pPr>
      <w:r>
        <w:t>测试目录，6 个直接文件：test_autoresearch.py、test_harness.py、test_organization.py、test_research_tree_demo.py 四个 .py，以及 test_relations.cjs、test_research_tree.cjs 两个 .cjs。README 的开发一节给出测试命令 python -m unittest discover -s tests -v 与 node --test tests/test_relations.cjs tests/test_research_tree.cjs。</w:t>
      </w:r>
    </w:p>
    <w:p w14:paraId="585E090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个目录。依据该仓 README 原文</w:t>
      </w:r>
    </w:p>
    <w:p w14:paraId="21474ED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根层代表文件：test_autoresearch.py、test_harness.py、test_organization.py、test_relations.cjs、test_research_tree.cjs、test_research_tree_demo.py。</w:t>
      </w:r>
    </w:p>
    <w:p w14:paraId="30DB1C41">
      <w:pPr>
        <w:pStyle w:val="4"/>
      </w:pPr>
      <w:bookmarkStart w:id="8" w:name="_Toc12178"/>
      <w:r>
        <w:t>根目录文件</w:t>
      </w:r>
      <w:bookmarkEnd w:id="8"/>
    </w:p>
    <w:p w14:paraId="125AC191">
      <w:pPr>
        <w:ind w:firstLine="480" w:firstLineChars="200"/>
      </w:pPr>
      <w:r>
        <w:t>.gitattributes：Git 属性配置，规定换行符与二进制文件的处理方式。</w:t>
      </w:r>
    </w:p>
    <w:p w14:paraId="39091628">
      <w:pPr>
        <w:ind w:firstLine="480" w:firstLineChars="200"/>
      </w:pPr>
      <w:r>
        <w:t>.gitignore：Git 忽略规则，声明不纳入版本控制的文件。</w:t>
      </w:r>
    </w:p>
    <w:p w14:paraId="2147EEEC">
      <w:pPr>
        <w:ind w:firstLine="480" w:firstLineChars="200"/>
      </w:pPr>
      <w:r>
        <w:t>ACKNOWLEDGEMENTS.md：上游影响与依赖的致谢名单；README 末段指向该文件（See acknowledgements for upstream influences and dependencies）。</w:t>
      </w:r>
    </w:p>
    <w:p w14:paraId="3AD481C3">
      <w:pPr>
        <w:ind w:firstLine="480" w:firstLineChars="200"/>
      </w:pPr>
      <w:r>
        <w:t>AGENTS.md：面向自动化代理的项目说明；README 未点名该文件，依文件名与生成器内置说明判断为给 AI 编码代理的仓库约定。</w:t>
      </w:r>
    </w:p>
    <w:p w14:paraId="4310FAC0">
      <w:pPr>
        <w:ind w:firstLine="480" w:firstLineChars="200"/>
      </w:pPr>
      <w:r>
        <w:t>CHANGELOG.md：版本变更日志；README 的 Read more 表中以「项目连续性与最近变更」指向该文件。</w:t>
      </w:r>
    </w:p>
    <w:p w14:paraId="0E9C1F1C">
      <w:pPr>
        <w:ind w:firstLine="480" w:firstLineChars="200"/>
      </w:pPr>
      <w:r>
        <w:t>CONTRIBUTING.md：贡献指南；README 在导航与 Read more 表中指向该文件，说明隐私边界与贡献流程在此。</w:t>
      </w:r>
    </w:p>
    <w:p w14:paraId="389DAA44">
      <w:pPr>
        <w:ind w:firstLine="480" w:firstLineChars="200"/>
      </w:pPr>
      <w:r>
        <w:t>LICENSE：MIT 许可证正文；README 末段说明本仓为 MIT 许可下的 alpha 开源项目。</w:t>
      </w:r>
    </w:p>
    <w:p w14:paraId="7E84D81B">
      <w:pPr>
        <w:ind w:firstLine="480" w:firstLineChars="200"/>
      </w:pPr>
      <w:r>
        <w:t>MANIFEST.in：README 未说明该文件，依文件名推断为 Python 打包时纳入分发包的文件清单。</w:t>
      </w:r>
    </w:p>
    <w:p w14:paraId="1E271A18">
      <w:pPr>
        <w:ind w:firstLine="480" w:firstLineChars="200"/>
      </w:pPr>
      <w:r>
        <w:t>README.md：仓库说明文档（英文），介绍定位、六类视图、接入方式与开发命令。</w:t>
      </w:r>
    </w:p>
    <w:p w14:paraId="5C64E55C">
      <w:pPr>
        <w:ind w:firstLine="480" w:firstLineChars="200"/>
      </w:pPr>
      <w:r>
        <w:t>README.zh-CN.md：README 的简体中文版；README 顶部语言栏提供 简体中文 链接指向该文件。</w:t>
      </w:r>
    </w:p>
    <w:p w14:paraId="1C966463">
      <w:pPr>
        <w:ind w:firstLine="480" w:firstLineChars="200"/>
      </w:pPr>
      <w:r>
        <w:t>SECURITY.md：安全与隐私边界说明；README 的 Read more 表以「Privacy boundaries and contribution workflow」指向 SECURITY.md 与 CONTRIBUTING.md。</w:t>
      </w:r>
    </w:p>
    <w:p w14:paraId="2DF2D908">
      <w:pPr>
        <w:ind w:firstLine="480" w:firstLineChars="200"/>
      </w:pPr>
      <w:r>
        <w:t>SECURITY.zh-CN.md：README 未点名该文件，依文件名推断为 SECURITY.md 的简体中文版（该仓同时维护中英双语文档）。</w:t>
      </w:r>
    </w:p>
    <w:p w14:paraId="2037642A">
      <w:pPr>
        <w:ind w:firstLine="480" w:firstLineChars="200"/>
      </w:pPr>
      <w:r>
        <w:t>bootstrap.py：项目接入引导脚本；README 给出用法 python bootstrap.py --project 项目路径 --results 结果路径 --workspace 工作区路径 --agent codex，说明它会安装一个控制器技能并执行初始事实扫描，且 --agent claude 与 --agent generic 提供其他安装布局。</w:t>
      </w:r>
    </w:p>
    <w:p w14:paraId="2D85BA84">
      <w:pPr>
        <w:ind w:firstLine="480" w:firstLineChars="200"/>
      </w:pPr>
      <w:r>
        <w:t>labweft.py：命令行主入口；README 用它执行 demo（生成合成工作区并打开只读本地预览）、serve（启动本地只读服务）、export 与 export-site（离线导出、可选携带证据）、research（可选 Shinka 后端自动研究）。</w:t>
      </w:r>
    </w:p>
    <w:p w14:paraId="3DCDA015">
      <w:pPr>
        <w:ind w:firstLine="480" w:firstLineChars="200"/>
      </w:pPr>
      <w:r>
        <w:t>pyproject.toml：Python 项目配置，声明依赖与打包方式；README 说明可用 python -m pip install . 安装本地检出，可选 Shinka 后端则以附加依赖 shinka 的方式安装（README 原文写作 pip install 加点方括号 shinka，该仓未发布到 PyPI）。</w:t>
      </w:r>
    </w:p>
    <w:p w14:paraId="3143CC38">
      <w:pPr>
        <w:ind w:firstLine="480" w:firstLineChars="200"/>
      </w:pPr>
      <w:r>
        <w:t>rh.py：README 未说明该文件，依文件名与 research_harness 目录名推断为研究工作站流程的简短命令入口。</w:t>
      </w:r>
    </w:p>
    <w:p w14:paraId="47541E0E">
      <w:pPr>
        <w:pStyle w:val="3"/>
      </w:pPr>
      <w:bookmarkStart w:id="9" w:name="_Toc28868"/>
      <w:r>
        <w:t>附录：完整文件清单</w:t>
      </w:r>
      <w:bookmarkEnd w:id="9"/>
    </w:p>
    <w:p w14:paraId="46EBDACF">
      <w:pPr>
        <w:ind w:firstLine="480" w:firstLineChars="200"/>
      </w:pPr>
      <w:r>
        <w:t>下表按路径列出该仓库全部 163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0CE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3FCF682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DCEA1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6470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2E0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0E3F6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examples/policy-study/.research/events/00000001.json</w:t>
            </w:r>
          </w:p>
        </w:tc>
      </w:tr>
      <w:tr w14:paraId="0F4C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18D9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.github/workflows/tests.yml</w:t>
            </w:r>
          </w:p>
        </w:tc>
        <w:tc>
          <w:tcPr>
            <w:tcW w:w="4535" w:type="dxa"/>
            <w:vAlign w:val="center"/>
          </w:tcPr>
          <w:p w14:paraId="35139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examples/policy-study/.research/events/00000002.json</w:t>
            </w:r>
          </w:p>
        </w:tc>
      </w:tr>
      <w:tr w14:paraId="5781E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C8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1B57C6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examples/policy-study/.research/events/00000003.json</w:t>
            </w:r>
          </w:p>
        </w:tc>
      </w:tr>
      <w:tr w14:paraId="2E652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DF1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ACKNOWLEDGEMENTS.md</w:t>
            </w:r>
          </w:p>
        </w:tc>
        <w:tc>
          <w:tcPr>
            <w:tcW w:w="4535" w:type="dxa"/>
            <w:vAlign w:val="center"/>
          </w:tcPr>
          <w:p w14:paraId="7299A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examples/policy-study/.research/manifest.json</w:t>
            </w:r>
          </w:p>
        </w:tc>
      </w:tr>
      <w:tr w14:paraId="525A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C0B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AGENTS.md</w:t>
            </w:r>
          </w:p>
        </w:tc>
        <w:tc>
          <w:tcPr>
            <w:tcW w:w="4535" w:type="dxa"/>
            <w:vAlign w:val="center"/>
          </w:tcPr>
          <w:p w14:paraId="146EB3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examples/policy-study/.research/map.html</w:t>
            </w:r>
          </w:p>
        </w:tc>
      </w:tr>
      <w:tr w14:paraId="10239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D84C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CHANGELOG.md</w:t>
            </w:r>
          </w:p>
        </w:tc>
        <w:tc>
          <w:tcPr>
            <w:tcW w:w="4535" w:type="dxa"/>
            <w:vAlign w:val="center"/>
          </w:tcPr>
          <w:p w14:paraId="3B009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examples/policy-study/.research/proposal-changed-protocol.json</w:t>
            </w:r>
          </w:p>
        </w:tc>
      </w:tr>
      <w:tr w14:paraId="153D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D4B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CONTRIBUTING.md</w:t>
            </w:r>
          </w:p>
        </w:tc>
        <w:tc>
          <w:tcPr>
            <w:tcW w:w="4535" w:type="dxa"/>
            <w:vAlign w:val="center"/>
          </w:tcPr>
          <w:p w14:paraId="1AAE5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examples/policy-study/.research/proposal-covered.json</w:t>
            </w:r>
          </w:p>
        </w:tc>
      </w:tr>
      <w:tr w14:paraId="7313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CC0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08B397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examples/policy-study/README.md</w:t>
            </w:r>
          </w:p>
        </w:tc>
      </w:tr>
      <w:tr w14:paraId="53EC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5B1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MANIFEST.in</w:t>
            </w:r>
          </w:p>
        </w:tc>
        <w:tc>
          <w:tcPr>
            <w:tcW w:w="4535" w:type="dxa"/>
            <w:vAlign w:val="center"/>
          </w:tcPr>
          <w:p w14:paraId="0EF61E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examples/policy-study/code/policy.py</w:t>
            </w:r>
          </w:p>
        </w:tc>
      </w:tr>
      <w:tr w14:paraId="15D4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63B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51157A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examples/policy-study/research-notes.md</w:t>
            </w:r>
          </w:p>
        </w:tc>
      </w:tr>
      <w:tr w14:paraId="1F5C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63D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README.zh-CN.md</w:t>
            </w:r>
          </w:p>
        </w:tc>
        <w:tc>
          <w:tcPr>
            <w:tcW w:w="4535" w:type="dxa"/>
            <w:vAlign w:val="center"/>
          </w:tcPr>
          <w:p w14:paraId="26EEAB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examples/policy-study/results/C0-seed-0/config.json</w:t>
            </w:r>
          </w:p>
        </w:tc>
      </w:tr>
      <w:tr w14:paraId="72A3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1D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SECURITY.md</w:t>
            </w:r>
          </w:p>
        </w:tc>
        <w:tc>
          <w:tcPr>
            <w:tcW w:w="4535" w:type="dxa"/>
            <w:vAlign w:val="center"/>
          </w:tcPr>
          <w:p w14:paraId="4CCE2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examples/policy-study/results/C0-seed-0/metrics.json</w:t>
            </w:r>
          </w:p>
        </w:tc>
      </w:tr>
      <w:tr w14:paraId="043C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F8C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SECURITY.zh-CN.md</w:t>
            </w:r>
          </w:p>
        </w:tc>
        <w:tc>
          <w:tcPr>
            <w:tcW w:w="4535" w:type="dxa"/>
            <w:vAlign w:val="center"/>
          </w:tcPr>
          <w:p w14:paraId="36119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examples/policy-study/results/C0-seed-0/run.json</w:t>
            </w:r>
          </w:p>
        </w:tc>
      </w:tr>
      <w:tr w14:paraId="2D9A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B9BA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bootstrap.py</w:t>
            </w:r>
          </w:p>
        </w:tc>
        <w:tc>
          <w:tcPr>
            <w:tcW w:w="4535" w:type="dxa"/>
            <w:vAlign w:val="center"/>
          </w:tcPr>
          <w:p w14:paraId="0A37DF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examples/policy-study/results/C0-seed-1/config.json</w:t>
            </w:r>
          </w:p>
        </w:tc>
      </w:tr>
      <w:tr w14:paraId="59CB6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6DB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docs/ARCHITECTURE.md</w:t>
            </w:r>
          </w:p>
        </w:tc>
        <w:tc>
          <w:tcPr>
            <w:tcW w:w="4535" w:type="dxa"/>
            <w:vAlign w:val="center"/>
          </w:tcPr>
          <w:p w14:paraId="33E15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examples/policy-study/results/C0-seed-1/metrics.json</w:t>
            </w:r>
          </w:p>
        </w:tc>
      </w:tr>
      <w:tr w14:paraId="59B4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F525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docs/ARCHITECTURE.zh-CN.md</w:t>
            </w:r>
          </w:p>
        </w:tc>
        <w:tc>
          <w:tcPr>
            <w:tcW w:w="4535" w:type="dxa"/>
            <w:vAlign w:val="center"/>
          </w:tcPr>
          <w:p w14:paraId="307615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examples/policy-study/results/C0-seed-1/run.json</w:t>
            </w:r>
          </w:p>
        </w:tc>
      </w:tr>
      <w:tr w14:paraId="4E3B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43C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docs/AUTORESEARCH.md</w:t>
            </w:r>
          </w:p>
        </w:tc>
        <w:tc>
          <w:tcPr>
            <w:tcW w:w="4535" w:type="dxa"/>
            <w:vAlign w:val="center"/>
          </w:tcPr>
          <w:p w14:paraId="3F794C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examples/policy-study/results/C0-seed-2/config.json</w:t>
            </w:r>
          </w:p>
        </w:tc>
      </w:tr>
      <w:tr w14:paraId="4FEE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DB6F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docs/AUTORESEARCH.zh-CN.md</w:t>
            </w:r>
          </w:p>
        </w:tc>
        <w:tc>
          <w:tcPr>
            <w:tcW w:w="4535" w:type="dxa"/>
            <w:vAlign w:val="center"/>
          </w:tcPr>
          <w:p w14:paraId="43C25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examples/policy-study/results/C0-seed-2/metrics.json</w:t>
            </w:r>
          </w:p>
        </w:tc>
      </w:tr>
      <w:tr w14:paraId="4DEC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D94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docs/BRAND.md</w:t>
            </w:r>
          </w:p>
        </w:tc>
        <w:tc>
          <w:tcPr>
            <w:tcW w:w="4535" w:type="dxa"/>
            <w:vAlign w:val="center"/>
          </w:tcPr>
          <w:p w14:paraId="5E1A4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examples/policy-study/results/C0-seed-2/run.json</w:t>
            </w:r>
          </w:p>
        </w:tc>
      </w:tr>
      <w:tr w14:paraId="129C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D2C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docs/HANDOFF.md</w:t>
            </w:r>
          </w:p>
        </w:tc>
        <w:tc>
          <w:tcPr>
            <w:tcW w:w="4535" w:type="dxa"/>
            <w:vAlign w:val="center"/>
          </w:tcPr>
          <w:p w14:paraId="53229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examples/policy-study/results/C1-seed-0/config.json</w:t>
            </w:r>
          </w:p>
        </w:tc>
      </w:tr>
      <w:tr w14:paraId="51F1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897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docs/HANDOFF.zh-CN.md</w:t>
            </w:r>
          </w:p>
        </w:tc>
        <w:tc>
          <w:tcPr>
            <w:tcW w:w="4535" w:type="dxa"/>
            <w:vAlign w:val="center"/>
          </w:tcPr>
          <w:p w14:paraId="31F07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examples/policy-study/results/C1-seed-0/metrics.json</w:t>
            </w:r>
          </w:p>
        </w:tc>
      </w:tr>
      <w:tr w14:paraId="25F06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CE93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docs/LIMITATIONS.md</w:t>
            </w:r>
          </w:p>
        </w:tc>
        <w:tc>
          <w:tcPr>
            <w:tcW w:w="4535" w:type="dxa"/>
            <w:vAlign w:val="center"/>
          </w:tcPr>
          <w:p w14:paraId="374B0F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examples/policy-study/results/C1-seed-0/run.json</w:t>
            </w:r>
          </w:p>
        </w:tc>
      </w:tr>
      <w:tr w14:paraId="35FC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D0F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docs/LIMITATIONS.zh-CN.md</w:t>
            </w:r>
          </w:p>
        </w:tc>
        <w:tc>
          <w:tcPr>
            <w:tcW w:w="4535" w:type="dxa"/>
            <w:vAlign w:val="center"/>
          </w:tcPr>
          <w:p w14:paraId="45D7D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examples/policy-study/results/C1-seed-1/config.json</w:t>
            </w:r>
          </w:p>
        </w:tc>
      </w:tr>
      <w:tr w14:paraId="3866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0A5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docs/RELEASE_GATES.md</w:t>
            </w:r>
          </w:p>
        </w:tc>
        <w:tc>
          <w:tcPr>
            <w:tcW w:w="4535" w:type="dxa"/>
            <w:vAlign w:val="center"/>
          </w:tcPr>
          <w:p w14:paraId="3E3A27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examples/policy-study/results/C1-seed-1/metrics.json</w:t>
            </w:r>
          </w:p>
        </w:tc>
      </w:tr>
      <w:tr w14:paraId="0B2C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6107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docs/RELEASE_GATES.zh-CN.md</w:t>
            </w:r>
          </w:p>
        </w:tc>
        <w:tc>
          <w:tcPr>
            <w:tcW w:w="4535" w:type="dxa"/>
            <w:vAlign w:val="center"/>
          </w:tcPr>
          <w:p w14:paraId="59B67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examples/policy-study/results/C1-seed-1/run.json</w:t>
            </w:r>
          </w:p>
        </w:tc>
      </w:tr>
      <w:tr w14:paraId="1423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9F9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docs/RESEARCH_TREE_DEMO.md</w:t>
            </w:r>
          </w:p>
        </w:tc>
        <w:tc>
          <w:tcPr>
            <w:tcW w:w="4535" w:type="dxa"/>
            <w:vAlign w:val="center"/>
          </w:tcPr>
          <w:p w14:paraId="09F8A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examples/policy-study/results/C1-seed-2/config.json</w:t>
            </w:r>
          </w:p>
        </w:tc>
      </w:tr>
      <w:tr w14:paraId="3EAED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919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docs/RESEARCH_TREE_DEMO.zh-CN.md</w:t>
            </w:r>
          </w:p>
        </w:tc>
        <w:tc>
          <w:tcPr>
            <w:tcW w:w="4535" w:type="dxa"/>
            <w:vAlign w:val="center"/>
          </w:tcPr>
          <w:p w14:paraId="783C75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examples/policy-study/results/C1-seed-2/metrics.json</w:t>
            </w:r>
          </w:p>
        </w:tc>
      </w:tr>
      <w:tr w14:paraId="64C11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8459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docs/VALIDATION.md</w:t>
            </w:r>
          </w:p>
        </w:tc>
        <w:tc>
          <w:tcPr>
            <w:tcW w:w="4535" w:type="dxa"/>
            <w:vAlign w:val="center"/>
          </w:tcPr>
          <w:p w14:paraId="70FA4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examples/policy-study/results/C1-seed-2/run.json</w:t>
            </w:r>
          </w:p>
        </w:tc>
      </w:tr>
      <w:tr w14:paraId="5DF8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F81E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docs/VALIDATION.zh-CN.md</w:t>
            </w:r>
          </w:p>
        </w:tc>
        <w:tc>
          <w:tcPr>
            <w:tcW w:w="4535" w:type="dxa"/>
            <w:vAlign w:val="center"/>
          </w:tcPr>
          <w:p w14:paraId="127C9F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examples/policy-study/results/C2-seed-0/config.json</w:t>
            </w:r>
          </w:p>
        </w:tc>
      </w:tr>
      <w:tr w14:paraId="53AC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E0A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docs/assets/cell-comparison.png</w:t>
            </w:r>
          </w:p>
        </w:tc>
        <w:tc>
          <w:tcPr>
            <w:tcW w:w="4535" w:type="dxa"/>
            <w:vAlign w:val="center"/>
          </w:tcPr>
          <w:p w14:paraId="28337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examples/policy-study/results/C2-seed-0/metrics.json</w:t>
            </w:r>
          </w:p>
        </w:tc>
      </w:tr>
      <w:tr w14:paraId="7FD9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681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docs/assets/labweft-banner.en.png</w:t>
            </w:r>
          </w:p>
        </w:tc>
        <w:tc>
          <w:tcPr>
            <w:tcW w:w="4535" w:type="dxa"/>
            <w:vAlign w:val="center"/>
          </w:tcPr>
          <w:p w14:paraId="5D5B2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examples/policy-study/results/C2-seed-0/run.json</w:t>
            </w:r>
          </w:p>
        </w:tc>
      </w:tr>
      <w:tr w14:paraId="4E28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81F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docs/assets/labweft-banner.en.svg</w:t>
            </w:r>
          </w:p>
        </w:tc>
        <w:tc>
          <w:tcPr>
            <w:tcW w:w="4535" w:type="dxa"/>
            <w:vAlign w:val="center"/>
          </w:tcPr>
          <w:p w14:paraId="05AFB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examples/policy-study/results/C2-seed-1/config.json</w:t>
            </w:r>
          </w:p>
        </w:tc>
      </w:tr>
      <w:tr w14:paraId="613A8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AB4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docs/assets/labweft-banner.zh-CN.png</w:t>
            </w:r>
          </w:p>
        </w:tc>
        <w:tc>
          <w:tcPr>
            <w:tcW w:w="4535" w:type="dxa"/>
            <w:vAlign w:val="center"/>
          </w:tcPr>
          <w:p w14:paraId="3934B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examples/policy-study/results/C2-seed-1/metrics.json</w:t>
            </w:r>
          </w:p>
        </w:tc>
      </w:tr>
      <w:tr w14:paraId="727A8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58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docs/assets/labweft-banner.zh-CN.svg</w:t>
            </w:r>
          </w:p>
        </w:tc>
        <w:tc>
          <w:tcPr>
            <w:tcW w:w="4535" w:type="dxa"/>
            <w:vAlign w:val="center"/>
          </w:tcPr>
          <w:p w14:paraId="0FC79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examples/policy-study/results/C2-seed-1/run.json</w:t>
            </w:r>
          </w:p>
        </w:tc>
      </w:tr>
      <w:tr w14:paraId="6E3D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E772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docs/assets/labweft-mark.png</w:t>
            </w:r>
          </w:p>
        </w:tc>
        <w:tc>
          <w:tcPr>
            <w:tcW w:w="4535" w:type="dxa"/>
            <w:vAlign w:val="center"/>
          </w:tcPr>
          <w:p w14:paraId="6CE60D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examples/policy-study/results/C2-seed-2/config.json</w:t>
            </w:r>
          </w:p>
        </w:tc>
      </w:tr>
      <w:tr w14:paraId="6A63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50C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docs/assets/labweft-mark.svg</w:t>
            </w:r>
          </w:p>
        </w:tc>
        <w:tc>
          <w:tcPr>
            <w:tcW w:w="4535" w:type="dxa"/>
            <w:vAlign w:val="center"/>
          </w:tcPr>
          <w:p w14:paraId="33540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examples/policy-study/results/C2-seed-2/metrics.json</w:t>
            </w:r>
          </w:p>
        </w:tc>
      </w:tr>
      <w:tr w14:paraId="5DEFC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97EF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docs/assets/labweft-social-preview.png</w:t>
            </w:r>
          </w:p>
        </w:tc>
        <w:tc>
          <w:tcPr>
            <w:tcW w:w="4535" w:type="dxa"/>
            <w:vAlign w:val="center"/>
          </w:tcPr>
          <w:p w14:paraId="7F553A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examples/policy-study/results/C2-seed-2/run.json</w:t>
            </w:r>
          </w:p>
        </w:tc>
      </w:tr>
      <w:tr w14:paraId="362B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810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docs/assets/research-map.png</w:t>
            </w:r>
          </w:p>
        </w:tc>
        <w:tc>
          <w:tcPr>
            <w:tcW w:w="4535" w:type="dxa"/>
            <w:vAlign w:val="center"/>
          </w:tcPr>
          <w:p w14:paraId="21C1DD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examples/policy-study/results/C3-seed-0/config.json</w:t>
            </w:r>
          </w:p>
        </w:tc>
      </w:tr>
      <w:tr w14:paraId="2F0F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537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docs/assets/research-tree-demo.json</w:t>
            </w:r>
          </w:p>
        </w:tc>
        <w:tc>
          <w:tcPr>
            <w:tcW w:w="4535" w:type="dxa"/>
            <w:vAlign w:val="center"/>
          </w:tcPr>
          <w:p w14:paraId="0D0BD1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examples/policy-study/results/C3-seed-0/metrics.json</w:t>
            </w:r>
          </w:p>
        </w:tc>
      </w:tr>
      <w:tr w14:paraId="02CF9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42AD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docs/assets/research-tree.gif</w:t>
            </w:r>
          </w:p>
        </w:tc>
        <w:tc>
          <w:tcPr>
            <w:tcW w:w="4535" w:type="dxa"/>
            <w:vAlign w:val="center"/>
          </w:tcPr>
          <w:p w14:paraId="61617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examples/policy-study/results/C3-seed-0/run.json</w:t>
            </w:r>
          </w:p>
        </w:tc>
      </w:tr>
      <w:tr w14:paraId="0E86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23EB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docs/validation/browser-smoke.json</w:t>
            </w:r>
          </w:p>
        </w:tc>
        <w:tc>
          <w:tcPr>
            <w:tcW w:w="4535" w:type="dxa"/>
            <w:vAlign w:val="center"/>
          </w:tcPr>
          <w:p w14:paraId="7E4864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examples/policy-study/results/C3-seed-1/config.json</w:t>
            </w:r>
          </w:p>
        </w:tc>
      </w:tr>
      <w:tr w14:paraId="10CA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B79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docs/validation/grouped-relations-20261001.json</w:t>
            </w:r>
          </w:p>
        </w:tc>
        <w:tc>
          <w:tcPr>
            <w:tcW w:w="4535" w:type="dxa"/>
            <w:vAlign w:val="center"/>
          </w:tcPr>
          <w:p w14:paraId="0E1AB8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examples/policy-study/results/C3-seed-1/metrics.json</w:t>
            </w:r>
          </w:p>
        </w:tc>
      </w:tr>
      <w:tr w14:paraId="13363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210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docs/validation/research-tree-canvas-20261001.json</w:t>
            </w:r>
          </w:p>
        </w:tc>
        <w:tc>
          <w:tcPr>
            <w:tcW w:w="4535" w:type="dxa"/>
            <w:vAlign w:val="center"/>
          </w:tcPr>
          <w:p w14:paraId="5D3F9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examples/policy-study/results/C3-seed-1/run.json</w:t>
            </w:r>
          </w:p>
        </w:tc>
      </w:tr>
      <w:tr w14:paraId="5286B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05C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docs/validation/shinka-backend-20261001.json</w:t>
            </w:r>
          </w:p>
        </w:tc>
        <w:tc>
          <w:tcPr>
            <w:tcW w:w="4535" w:type="dxa"/>
            <w:vAlign w:val="center"/>
          </w:tcPr>
          <w:p w14:paraId="13EF8D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examples/policy-study/results/C3-seed-2/config.json</w:t>
            </w:r>
          </w:p>
        </w:tc>
      </w:tr>
      <w:tr w14:paraId="1024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566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docs/validation/unit-tests.txt</w:t>
            </w:r>
          </w:p>
        </w:tc>
        <w:tc>
          <w:tcPr>
            <w:tcW w:w="4535" w:type="dxa"/>
            <w:vAlign w:val="center"/>
          </w:tcPr>
          <w:p w14:paraId="742CE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examples/policy-study/results/C3-seed-2/metrics.json</w:t>
            </w:r>
          </w:p>
        </w:tc>
      </w:tr>
      <w:tr w14:paraId="52090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193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examples/policy-study/.research/.gitignore</w:t>
            </w:r>
          </w:p>
        </w:tc>
        <w:tc>
          <w:tcPr>
            <w:tcW w:w="4535" w:type="dxa"/>
            <w:vAlign w:val="center"/>
          </w:tcPr>
          <w:p w14:paraId="5B05E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examples/policy-study/results/C3-seed-2/run.json</w:t>
            </w:r>
          </w:p>
        </w:tc>
      </w:tr>
      <w:tr w14:paraId="0801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5FAA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examples/policy-study/.research/blobs/1650da68b65a52f46da5cb254037232d769b635696f510f1197f8bd64dff2f46</w:t>
            </w:r>
          </w:p>
        </w:tc>
        <w:tc>
          <w:tcPr>
            <w:tcW w:w="4535" w:type="dxa"/>
            <w:vAlign w:val="center"/>
          </w:tcPr>
          <w:p w14:paraId="5F3382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examples/shinka/README.md</w:t>
            </w:r>
          </w:p>
        </w:tc>
      </w:tr>
      <w:tr w14:paraId="71E9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DC69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examples/policy-study/.research/blobs/17ee0315628378c600768dbc47b74cb775d2cd2778763bc2d189ec61fb4059dd</w:t>
            </w:r>
          </w:p>
        </w:tc>
        <w:tc>
          <w:tcPr>
            <w:tcW w:w="4535" w:type="dxa"/>
            <w:vAlign w:val="center"/>
          </w:tcPr>
          <w:p w14:paraId="04B442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examples/shinka/campaign.json</w:t>
            </w:r>
          </w:p>
        </w:tc>
      </w:tr>
      <w:tr w14:paraId="0FA4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79E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examples/policy-study/.research/blobs/18b2b42366ca8aa75a895aa7453ba2a323aa4801555e8276f5f880f9b4ec6468</w:t>
            </w:r>
          </w:p>
        </w:tc>
        <w:tc>
          <w:tcPr>
            <w:tcW w:w="4535" w:type="dxa"/>
            <w:vAlign w:val="center"/>
          </w:tcPr>
          <w:p w14:paraId="586154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examples/shinka/task/evaluate.py</w:t>
            </w:r>
          </w:p>
        </w:tc>
      </w:tr>
      <w:tr w14:paraId="5D77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67A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examples/policy-study/.research/blobs/2572a2c117ed2d1d60ab649f9ac02667cd054b15d6ece2c4807339962237bff5</w:t>
            </w:r>
          </w:p>
        </w:tc>
        <w:tc>
          <w:tcPr>
            <w:tcW w:w="4535" w:type="dxa"/>
            <w:vAlign w:val="center"/>
          </w:tcPr>
          <w:p w14:paraId="77ECE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examples/shinka/task/initial.py</w:t>
            </w:r>
          </w:p>
        </w:tc>
      </w:tr>
      <w:tr w14:paraId="1553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B6E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examples/policy-study/.research/blobs/2e787d1d1acfffe6800b2b7595bbf98fba0dceeb41420037c1386d4d28f2205d</w:t>
            </w:r>
          </w:p>
        </w:tc>
        <w:tc>
          <w:tcPr>
            <w:tcW w:w="4535" w:type="dxa"/>
            <w:vAlign w:val="center"/>
          </w:tcPr>
          <w:p w14:paraId="367441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labweft.py</w:t>
            </w:r>
          </w:p>
        </w:tc>
      </w:tr>
      <w:tr w14:paraId="62BF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5AE9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examples/policy-study/.research/blobs/30c3cbbf23e712fc25ae230e221f20a85c4d93dc32ea36b55b95d8406fbc2e52</w:t>
            </w:r>
          </w:p>
        </w:tc>
        <w:tc>
          <w:tcPr>
            <w:tcW w:w="4535" w:type="dxa"/>
            <w:vAlign w:val="center"/>
          </w:tcPr>
          <w:p w14:paraId="6641DE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</w:tr>
      <w:tr w14:paraId="71ABE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2113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examples/policy-study/.research/blobs/3da157d3acf037befd7685123fd9ad99533634143eaf3c8ef1fea053009f3e33</w:t>
            </w:r>
          </w:p>
        </w:tc>
        <w:tc>
          <w:tcPr>
            <w:tcW w:w="4535" w:type="dxa"/>
            <w:vAlign w:val="center"/>
          </w:tcPr>
          <w:p w14:paraId="17A9D9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research_harness/__init__.py</w:t>
            </w:r>
          </w:p>
        </w:tc>
      </w:tr>
      <w:tr w14:paraId="34153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652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examples/policy-study/.research/blobs/3fd8d85c2999812d2d54b37ffebd609c49b7149f5433099ef3b072d6733964bf</w:t>
            </w:r>
          </w:p>
        </w:tc>
        <w:tc>
          <w:tcPr>
            <w:tcW w:w="4535" w:type="dxa"/>
            <w:vAlign w:val="center"/>
          </w:tcPr>
          <w:p w14:paraId="7FAAC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research_harness/__main__.py</w:t>
            </w:r>
          </w:p>
        </w:tc>
      </w:tr>
      <w:tr w14:paraId="79CBD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26F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examples/policy-study/.research/blobs/53c27232c00dbc3859a9e7800ae225fd280d512751b41314ba84947887c98740</w:t>
            </w:r>
          </w:p>
        </w:tc>
        <w:tc>
          <w:tcPr>
            <w:tcW w:w="4535" w:type="dxa"/>
            <w:vAlign w:val="center"/>
          </w:tcPr>
          <w:p w14:paraId="082398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research_harness/autoresearch.py</w:t>
            </w:r>
          </w:p>
        </w:tc>
      </w:tr>
      <w:tr w14:paraId="7076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35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examples/policy-study/.research/blobs/5c149373b4f64ae77159eb9e90e7f9bd3a9bb797533852ed58dafc0b718ea213</w:t>
            </w:r>
          </w:p>
        </w:tc>
        <w:tc>
          <w:tcPr>
            <w:tcW w:w="4535" w:type="dxa"/>
            <w:vAlign w:val="center"/>
          </w:tcPr>
          <w:p w14:paraId="6DAEE6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research_harness/backends/__init__.py</w:t>
            </w:r>
          </w:p>
        </w:tc>
      </w:tr>
      <w:tr w14:paraId="43C2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3C9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examples/policy-study/.research/blobs/63f274c1af61234075e6c87f64258e751c380a33ac3ffa11ad0071a6cfbf2a5a</w:t>
            </w:r>
          </w:p>
        </w:tc>
        <w:tc>
          <w:tcPr>
            <w:tcW w:w="4535" w:type="dxa"/>
            <w:vAlign w:val="center"/>
          </w:tcPr>
          <w:p w14:paraId="49D58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research_harness/backends/shinka.py</w:t>
            </w:r>
          </w:p>
        </w:tc>
      </w:tr>
      <w:tr w14:paraId="3180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2DF5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examples/policy-study/.research/blobs/699fab5cf85a55beabbe0e28d992aace34565bf44ae2c4bc1c8ac9f84475985d</w:t>
            </w:r>
          </w:p>
        </w:tc>
        <w:tc>
          <w:tcPr>
            <w:tcW w:w="4535" w:type="dxa"/>
            <w:vAlign w:val="center"/>
          </w:tcPr>
          <w:p w14:paraId="7D19F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research_harness/cli.py</w:t>
            </w:r>
          </w:p>
        </w:tc>
      </w:tr>
      <w:tr w14:paraId="6480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830C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examples/policy-study/.research/blobs/6c583a8f33c08813576e5d6e9f6537aabca6be97ae4693547b60d38092f438bf</w:t>
            </w:r>
          </w:p>
        </w:tc>
        <w:tc>
          <w:tcPr>
            <w:tcW w:w="4535" w:type="dxa"/>
            <w:vAlign w:val="center"/>
          </w:tcPr>
          <w:p w14:paraId="2D4DF2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research_harness/demo.py</w:t>
            </w:r>
          </w:p>
        </w:tc>
      </w:tr>
      <w:tr w14:paraId="2CDB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9E4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examples/policy-study/.research/blobs/71187941b7507555b0d950db6ab26cf9dc0f5463fda7f53a95036bc485ea01f4</w:t>
            </w:r>
          </w:p>
        </w:tc>
        <w:tc>
          <w:tcPr>
            <w:tcW w:w="4535" w:type="dxa"/>
            <w:vAlign w:val="center"/>
          </w:tcPr>
          <w:p w14:paraId="04141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research_harness/fixtures/research_tree.json</w:t>
            </w:r>
          </w:p>
        </w:tc>
      </w:tr>
      <w:tr w14:paraId="6F5D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740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examples/policy-study/.research/blobs/7e561102166aff7d2d5a72ce4b5371d2385e27da6610a780a3ad8e0e33418794</w:t>
            </w:r>
          </w:p>
        </w:tc>
        <w:tc>
          <w:tcPr>
            <w:tcW w:w="4535" w:type="dxa"/>
            <w:vAlign w:val="center"/>
          </w:tcPr>
          <w:p w14:paraId="55BFF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research_harness/organization.py</w:t>
            </w:r>
          </w:p>
        </w:tc>
      </w:tr>
      <w:tr w14:paraId="5047B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69B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examples/policy-study/.research/blobs/80003efea285975890ec6d0e61485ca6acde18c28712ca9850b37fdde5530748</w:t>
            </w:r>
          </w:p>
        </w:tc>
        <w:tc>
          <w:tcPr>
            <w:tcW w:w="4535" w:type="dxa"/>
            <w:vAlign w:val="center"/>
          </w:tcPr>
          <w:p w14:paraId="107A50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research_harness/reasoning.py</w:t>
            </w:r>
          </w:p>
        </w:tc>
      </w:tr>
      <w:tr w14:paraId="2568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BFD2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examples/policy-study/.research/blobs/84ec8b6513da09980fed5ddb1d34fa6d889397f5b08da8abfdd03fa8649488d0</w:t>
            </w:r>
          </w:p>
        </w:tc>
        <w:tc>
          <w:tcPr>
            <w:tcW w:w="4535" w:type="dxa"/>
            <w:vAlign w:val="center"/>
          </w:tcPr>
          <w:p w14:paraId="447EE7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research_harness/research_tree_demo.py</w:t>
            </w:r>
          </w:p>
        </w:tc>
      </w:tr>
      <w:tr w14:paraId="2A90E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0FD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examples/policy-study/.research/blobs/861c17175b206c1ccf87854691a11b6670d69342c8707471933172b738da8471</w:t>
            </w:r>
          </w:p>
        </w:tc>
        <w:tc>
          <w:tcPr>
            <w:tcW w:w="4535" w:type="dxa"/>
            <w:vAlign w:val="center"/>
          </w:tcPr>
          <w:p w14:paraId="5F8E4D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research_harness/research_worker.py</w:t>
            </w:r>
          </w:p>
        </w:tc>
      </w:tr>
      <w:tr w14:paraId="2C53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4B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examples/policy-study/.research/blobs/874ecc5901e0478e55457fbf0cd3bb5652afac4910542294bf68299f8e604737</w:t>
            </w:r>
          </w:p>
        </w:tc>
        <w:tc>
          <w:tcPr>
            <w:tcW w:w="4535" w:type="dxa"/>
            <w:vAlign w:val="center"/>
          </w:tcPr>
          <w:p w14:paraId="24D59E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research_harness/scan.py</w:t>
            </w:r>
          </w:p>
        </w:tc>
      </w:tr>
      <w:tr w14:paraId="240F0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7276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examples/policy-study/.research/blobs/89881e518668663fd7da4af36701877cf720e26f42aef8b75e2e321ddf593573</w:t>
            </w:r>
          </w:p>
        </w:tc>
        <w:tc>
          <w:tcPr>
            <w:tcW w:w="4535" w:type="dxa"/>
            <w:vAlign w:val="center"/>
          </w:tcPr>
          <w:p w14:paraId="7400A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research_harness/server.py</w:t>
            </w:r>
          </w:p>
        </w:tc>
      </w:tr>
      <w:tr w14:paraId="24AB1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1260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examples/policy-study/.research/blobs/9101b16d2b8fd326e18e66c8189d0eeb8c5e3488af1ee4de22b648a3355ae8e2</w:t>
            </w:r>
          </w:p>
        </w:tc>
        <w:tc>
          <w:tcPr>
            <w:tcW w:w="4535" w:type="dxa"/>
            <w:vAlign w:val="center"/>
          </w:tcPr>
          <w:p w14:paraId="7F1E37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research_harness/skill/research-harness/SKILL.md</w:t>
            </w:r>
          </w:p>
        </w:tc>
      </w:tr>
      <w:tr w14:paraId="5738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20AF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examples/policy-study/.research/blobs/9273e7f1260e32ab5df363f0c842f4465ef8478b25a92287502e20be85a3cf41</w:t>
            </w:r>
          </w:p>
        </w:tc>
        <w:tc>
          <w:tcPr>
            <w:tcW w:w="4535" w:type="dxa"/>
            <w:vAlign w:val="center"/>
          </w:tcPr>
          <w:p w14:paraId="0D2CB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research_harness/skill/research-harness/references/AUTORESEARCH.md</w:t>
            </w:r>
          </w:p>
        </w:tc>
      </w:tr>
      <w:tr w14:paraId="761C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2E59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examples/policy-study/.research/blobs/96811afdd38130fedc7cc3b5a3aee7d3041a89ab3a1f6452466791cc8c58adad</w:t>
            </w:r>
          </w:p>
        </w:tc>
        <w:tc>
          <w:tcPr>
            <w:tcW w:w="4535" w:type="dxa"/>
            <w:vAlign w:val="center"/>
          </w:tcPr>
          <w:p w14:paraId="0BC28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research_harness/skill/research-harness/references/LOCAL_COMMAND.md</w:t>
            </w:r>
          </w:p>
        </w:tc>
      </w:tr>
      <w:tr w14:paraId="69BB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5245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examples/policy-study/.research/blobs/9902f47232f2db8e59fc621f8046905e7284dada036e90879872edd8f66cc75f</w:t>
            </w:r>
          </w:p>
        </w:tc>
        <w:tc>
          <w:tcPr>
            <w:tcW w:w="4535" w:type="dxa"/>
            <w:vAlign w:val="center"/>
          </w:tcPr>
          <w:p w14:paraId="60314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research_harness/skill/research-harness/references/PROTOCOL.md</w:t>
            </w:r>
          </w:p>
        </w:tc>
      </w:tr>
      <w:tr w14:paraId="61207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9DD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examples/policy-study/.research/blobs/a60e9f930bc8116fc5fd9b4593c0b6ab031f1a534c722216bb812212db5eaf6b</w:t>
            </w:r>
          </w:p>
        </w:tc>
        <w:tc>
          <w:tcPr>
            <w:tcW w:w="4535" w:type="dxa"/>
            <w:vAlign w:val="center"/>
          </w:tcPr>
          <w:p w14:paraId="003C8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research_harness/static/app.css</w:t>
            </w:r>
          </w:p>
        </w:tc>
      </w:tr>
      <w:tr w14:paraId="7FD64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758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examples/policy-study/.research/blobs/a98f1633cf546efe9e47ff2b53688bb2ccacd5e13a9dec38f777a27e7cae48d9</w:t>
            </w:r>
          </w:p>
        </w:tc>
        <w:tc>
          <w:tcPr>
            <w:tcW w:w="4535" w:type="dxa"/>
            <w:vAlign w:val="center"/>
          </w:tcPr>
          <w:p w14:paraId="6AFBE9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research_harness/static/app.js</w:t>
            </w:r>
          </w:p>
        </w:tc>
      </w:tr>
      <w:tr w14:paraId="6138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D78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examples/policy-study/.research/blobs/ad1755c2acc110c0b4caa65c3272ea4ac2345813748baaa53bb932de75dbb5c1</w:t>
            </w:r>
          </w:p>
        </w:tc>
        <w:tc>
          <w:tcPr>
            <w:tcW w:w="4535" w:type="dxa"/>
            <w:vAlign w:val="center"/>
          </w:tcPr>
          <w:p w14:paraId="6024F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research_harness/static/index.html</w:t>
            </w:r>
          </w:p>
        </w:tc>
      </w:tr>
      <w:tr w14:paraId="5E56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D81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examples/policy-study/.research/blobs/b238fa1cb99280513f9e3b7a9a44c6ee569b4f690bda361bc8caffeca070df7a</w:t>
            </w:r>
          </w:p>
        </w:tc>
        <w:tc>
          <w:tcPr>
            <w:tcW w:w="4535" w:type="dxa"/>
            <w:vAlign w:val="center"/>
          </w:tcPr>
          <w:p w14:paraId="3B43D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research_harness/store.py</w:t>
            </w:r>
          </w:p>
        </w:tc>
      </w:tr>
      <w:tr w14:paraId="56B4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059D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examples/policy-study/.research/blobs/c43f23af651a7fa77d59b5fd79924b48d40e18802b9624fb77748d80b914236c</w:t>
            </w:r>
          </w:p>
        </w:tc>
        <w:tc>
          <w:tcPr>
            <w:tcW w:w="4535" w:type="dxa"/>
            <w:vAlign w:val="center"/>
          </w:tcPr>
          <w:p w14:paraId="5C30E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rh.py</w:t>
            </w:r>
          </w:p>
        </w:tc>
      </w:tr>
      <w:tr w14:paraId="64C2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ED7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examples/policy-study/.research/blobs/db8ad60d7510e2f9763ae77c3ddb81ede232a47cb5400872f0f0b3d84e9f32d5</w:t>
            </w:r>
          </w:p>
        </w:tc>
        <w:tc>
          <w:tcPr>
            <w:tcW w:w="4535" w:type="dxa"/>
            <w:vAlign w:val="center"/>
          </w:tcPr>
          <w:p w14:paraId="511F6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tests/test_autoresearch.py</w:t>
            </w:r>
          </w:p>
        </w:tc>
      </w:tr>
      <w:tr w14:paraId="5DD6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5E86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examples/policy-study/.research/blobs/e98b529341b7104be76091e3d5b7435de9ee3f7d14fa591f0f7b86921a39ea56</w:t>
            </w:r>
          </w:p>
        </w:tc>
        <w:tc>
          <w:tcPr>
            <w:tcW w:w="4535" w:type="dxa"/>
            <w:vAlign w:val="center"/>
          </w:tcPr>
          <w:p w14:paraId="68041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tests/test_harness.py</w:t>
            </w:r>
          </w:p>
        </w:tc>
      </w:tr>
      <w:tr w14:paraId="1AE2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F4F9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examples/policy-study/.research/blobs/eb97df2603f092e835ecb897978f7e48fbc2e775ee35f99751933a8bb7bbbc68</w:t>
            </w:r>
          </w:p>
        </w:tc>
        <w:tc>
          <w:tcPr>
            <w:tcW w:w="4535" w:type="dxa"/>
            <w:vAlign w:val="center"/>
          </w:tcPr>
          <w:p w14:paraId="592122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tests/test_organization.py</w:t>
            </w:r>
          </w:p>
        </w:tc>
      </w:tr>
      <w:tr w14:paraId="2615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F2D7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examples/policy-study/.research/blobs/f32a01ee6224de77561e94306dce5de951217066b094b25184b3ef8a65b89a96</w:t>
            </w:r>
          </w:p>
        </w:tc>
        <w:tc>
          <w:tcPr>
            <w:tcW w:w="4535" w:type="dxa"/>
            <w:vAlign w:val="center"/>
          </w:tcPr>
          <w:p w14:paraId="1AE6B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tests/test_relations.cjs</w:t>
            </w:r>
          </w:p>
        </w:tc>
      </w:tr>
      <w:tr w14:paraId="66F85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7B26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examples/policy-study/.research/blobs/f4dff9282e69a22802b016d27ff02bf607c314a9cc5933479d7b211adf2fcb5e</w:t>
            </w:r>
          </w:p>
        </w:tc>
        <w:tc>
          <w:tcPr>
            <w:tcW w:w="4535" w:type="dxa"/>
            <w:vAlign w:val="center"/>
          </w:tcPr>
          <w:p w14:paraId="64BC8D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tests/test_research_tree.cjs</w:t>
            </w:r>
          </w:p>
        </w:tc>
      </w:tr>
      <w:tr w14:paraId="7CE4D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8B2C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examples/policy-study/.research/blobs/f7839e1a835ef7a232222b3afe37b139496de14d9b9234f698d08e7e916d0c3f</w:t>
            </w:r>
          </w:p>
        </w:tc>
        <w:tc>
          <w:tcPr>
            <w:tcW w:w="4535" w:type="dxa"/>
            <w:vAlign w:val="center"/>
          </w:tcPr>
          <w:p w14:paraId="469BB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tests/test_research_tree_demo.py</w:t>
            </w:r>
          </w:p>
        </w:tc>
      </w:tr>
      <w:tr w14:paraId="5385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CD41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examples/policy-study/.research/blobs/f8987991eb8ecb800cab7d5cf6fcf9f33f6edea47550d2da45d903569c03038a</w:t>
            </w:r>
          </w:p>
        </w:tc>
        <w:tc>
          <w:tcPr>
            <w:tcW w:w="4535" w:type="dxa"/>
            <w:vAlign w:val="center"/>
          </w:tcPr>
          <w:p w14:paraId="144B2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7D3B33E3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E3C80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CFB1A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A4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5A9C61EE0CBD430A9F67358761C0742E_12</vt:lpwstr>
  </property>
</Properties>
</file>