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C6A59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A2796D2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roboparty_repo</w:t>
      </w:r>
    </w:p>
    <w:p w14:paraId="0C51453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7742CB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仓库地址：https://github.com/Roboparty/roboparty_repo</w:t>
      </w:r>
    </w:p>
    <w:p w14:paraId="390ABB8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446F1406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E2667DE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838" w:history="1">
        <w:r>
          <w:t>一、仓库概况</w:t>
        </w:r>
        <w:r>
          <w:tab/>
        </w:r>
        <w:r>
          <w:fldChar w:fldCharType="begin"/>
        </w:r>
        <w:r>
          <w:instrText xml:space="preserve"> PAGEREF _Toc24838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449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_Toc2449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3762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_Toc23762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5879" w:history="1">
        <w:r>
          <w:t>.github/</w:t>
        </w:r>
        <w:r>
          <w:tab/>
        </w:r>
        <w:r>
          <w:fldChar w:fldCharType="begin"/>
        </w:r>
        <w:r>
          <w:instrText xml:space="preserve"> PAGEREF _Toc25879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9484" w:history="1">
        <w:r>
          <w:t>scripts/</w:t>
        </w:r>
        <w:r>
          <w:tab/>
        </w:r>
        <w:r>
          <w:fldChar w:fldCharType="begin"/>
        </w:r>
        <w:r>
          <w:instrText xml:space="preserve"> PAGEREF _Toc19484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7851" w:history="1">
        <w:r>
          <w:t>根目录文件</w:t>
        </w:r>
        <w:r>
          <w:tab/>
        </w:r>
        <w:r>
          <w:fldChar w:fldCharType="begin"/>
        </w:r>
        <w:r>
          <w:instrText xml:space="preserve"> PAGEREF _Toc17851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579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_Toc579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 w14:paraId="26CB973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88B77CC">
      <w:pPr>
        <w:pStyle w:val="3"/>
      </w:pPr>
      <w:bookmarkStart w:id="0" w:name="_Toc2483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50EB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1A70D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57241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CE2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27E2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C69F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roboparty_repo</w:t>
            </w:r>
          </w:p>
        </w:tc>
      </w:tr>
      <w:tr w14:paraId="3877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EFE6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54F1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https://github.com/Roboparty/roboparty_repo</w:t>
            </w:r>
          </w:p>
        </w:tc>
      </w:tr>
      <w:tr w14:paraId="56A4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6E3EE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421E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 发布工程与索引</w:t>
            </w:r>
          </w:p>
        </w:tc>
      </w:tr>
      <w:tr w14:paraId="0019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D4CF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3B092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5D00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B8C4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50785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5338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BD9BF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51F6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63AC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59DD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7E71A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C3B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9280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DE22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940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E1C8A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BB25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07A2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7D91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15A0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2026-09-15</w:t>
            </w:r>
          </w:p>
        </w:tc>
      </w:tr>
      <w:tr w14:paraId="4EB1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2F3F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6E76A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2026-09-15</w:t>
            </w:r>
          </w:p>
        </w:tc>
      </w:tr>
      <w:tr w14:paraId="030D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35EE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4988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</w:tr>
      <w:tr w14:paraId="0964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3DB1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C45C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75AE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BDDC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33B1D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</w:tr>
    </w:tbl>
    <w:p w14:paraId="0E201AE0"/>
    <w:p w14:paraId="14DA9558">
      <w:pPr>
        <w:ind w:firstLine="480" w:firstLineChars="200"/>
      </w:pPr>
      <w:r>
        <w:t>本仓库是 RoboParty 的 APT 源自动化管理仓库（README 首行自述为 RoboParty APT 源自动化管理仓库），统筹子仓库发版、deb 包同步入库与用户安装三个环节。</w:t>
      </w:r>
    </w:p>
    <w:p w14:paraId="678FD447">
      <w:pPr>
        <w:ind w:firstLine="480" w:firstLineChars="200"/>
      </w:pPr>
      <w:r>
        <w:t>README 说明本仓库同时提供 Android repo 工具使用的源码清单 manifest.xml，用于同步各源码仓库（默认同步到 app/ 下的 roboparty_base、roboparty_motors、roboparty_imu、roboparty_dexhand、roboparty_rp_head、roboparty_rp_server、robopi_addon 以及 image/ 下的 roboparty_image 等），它不负责 APT deb 包同步；APT 流程仍使用 routing.yaml 与 GitHub Release。</w:t>
      </w:r>
    </w:p>
    <w:p w14:paraId="690356C9">
      <w:pPr>
        <w:ind w:firstLine="480" w:firstLineChars="200"/>
      </w:pPr>
      <w:r>
        <w:t>按 README 的流程：第一步在子仓库用 dch 更新 changelog 并打 tag（CI 会校验 tag 与 debian/changelog 版本号是否一致）触发 Actions 构建 .deb 与 Release；第二步在 APT 服务器执行 python3 scripts/route_debs.py routing.yaml /srv/apt-incoming/ 从 GitHub Release 下载并按 routing.yaml 分拣，再执行 bash scripts/bot_inject.sh 调用 reprepro 入库；第三步用户导入 GPG 公钥、添加 https://apt.roboparty.com 源后 apt install，可用 suite 为 common、robopi1、robopi2、robopi3、x86。</w:t>
      </w:r>
    </w:p>
    <w:p w14:paraId="03D8AB5F">
      <w:pPr>
        <w:ind w:firstLine="480" w:firstLineChars="200"/>
      </w:pPr>
      <w:r>
        <w:t>仓库共 16 个受控文件、3 个目录、9 个顶层条目，主要语言为 Python。采集元数据中的文件数为 18，其中含 2 个子模块挂载点（roboparty_EtherCANFD 与 rp1_deploy）。README 另提到 dashboard.yml 每小时拉取 routing.yaml 中各仓库的 Actions 状态作为编译看板。</w:t>
      </w:r>
    </w:p>
    <w:p w14:paraId="28F58188">
      <w:pPr>
        <w:ind w:firstLine="480" w:firstLineChars="200"/>
      </w:pPr>
      <w:r>
        <w:t>该仓含 readme.md（原文共约 4229 字符），覆盖 repo 工具安装与源码同步、子仓库发版（dch/tag 与 Actions 校验）、同步到 APT 源（route_debs.py 与 bot_inject.sh）、routing.yaml 配置示例、用户安装（GPG 公钥与 apt 源）、编译看板与文件结构。</w:t>
      </w:r>
    </w:p>
    <w:p w14:paraId="74067ACA">
      <w:pPr>
        <w:ind w:firstLine="480" w:firstLineChars="200"/>
      </w:pPr>
      <w:r>
        <w:t>需说明的是，roboparty_EtherCANFD 与 rp1_deploy 在 README 与采集数据中均为子模块（类型为 commit 的挂载点），不含具体文件，故未计入顶层条目索引表。README 文件结构中列出的 distributions（reprepro 仓库配置，参考用）与 env（代理等环境变量）未出现在本次采集的受控文件列表中。</w:t>
      </w:r>
    </w:p>
    <w:p w14:paraId="153931C6">
      <w:pPr>
        <w:pStyle w:val="3"/>
      </w:pPr>
      <w:bookmarkStart w:id="1" w:name="_Toc2449"/>
      <w:r>
        <w:t>二、顶层条目索引</w:t>
      </w:r>
      <w:bookmarkEnd w:id="1"/>
    </w:p>
    <w:p w14:paraId="7CD9E88B">
      <w:pPr>
        <w:ind w:firstLine="480" w:firstLineChars="200"/>
      </w:pPr>
      <w:r>
        <w:t>下表列出仓库根目录下的全部顶层条目（共 9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5A6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3B64A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48E9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44791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1E6DA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14662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D7C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663F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21BA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4F43AA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D9A8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1 个子目录</w:t>
            </w:r>
          </w:p>
        </w:tc>
        <w:tc>
          <w:tcPr>
            <w:tcW w:w="3685" w:type="dxa"/>
            <w:vAlign w:val="center"/>
          </w:tcPr>
          <w:p w14:paraId="25545E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CODEOWNERS、ISSUE_TEMPLATE.md、PULL_REQUEST_TEMPLATE.md，下设 workflows/ 子目录，共 5 个递归文件。</w:t>
            </w:r>
          </w:p>
        </w:tc>
      </w:tr>
      <w:tr w14:paraId="3120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04229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CBAC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7617F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E22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EF9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忽略规则，声明不纳入版本控制的文件（README 文件结构中把 env 标注为 gitignore）。</w:t>
            </w:r>
          </w:p>
        </w:tc>
      </w:tr>
      <w:tr w14:paraId="6408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CAEA6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438D5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vAlign w:val="center"/>
          </w:tcPr>
          <w:p w14:paraId="79B09C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5B15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BB36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 roboparty_EtherCANFD 与 rp1_deploy 两个子模块。</w:t>
            </w:r>
          </w:p>
        </w:tc>
      </w:tr>
      <w:tr w14:paraId="5514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46996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0B18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build.md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2530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B6162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D8FE8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构建相关说明文档。</w:t>
            </w:r>
          </w:p>
        </w:tc>
      </w:tr>
      <w:tr w14:paraId="4EB3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CFF34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7AB1F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manifest.xml</w:t>
            </w:r>
          </w:p>
        </w:tc>
        <w:tc>
          <w:tcPr>
            <w:tcW w:w="794" w:type="dxa"/>
            <w:vAlign w:val="center"/>
          </w:tcPr>
          <w:p w14:paraId="50C5A1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6C3C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1D80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Android repo 工具使用的源码清单，README 说明它负责同步各个源码仓库并可查看清单中的项目，仓库切换默认分支时需同步修改对应项目的 revision。</w:t>
            </w:r>
          </w:p>
        </w:tc>
      </w:tr>
      <w:tr w14:paraId="0413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4A2F7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54DE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AFEA8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CDE1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54F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 APT 源自动化管理的完整流程。</w:t>
            </w:r>
          </w:p>
        </w:tc>
      </w:tr>
      <w:tr w14:paraId="48E3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295D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1491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routing.yaml</w:t>
            </w:r>
          </w:p>
        </w:tc>
        <w:tc>
          <w:tcPr>
            <w:tcW w:w="794" w:type="dxa"/>
            <w:vAlign w:val="center"/>
          </w:tcPr>
          <w:p w14:paraId="0913E8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CBC1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05FD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仓库与路由规则配置；README 给出示例，repos 列出要下载的 GitHub 仓库，routing 按 suite（如 common）配置 pattern 并可选用 version 锁定版本，默认拉取最新。</w:t>
            </w:r>
          </w:p>
        </w:tc>
      </w:tr>
      <w:tr w14:paraId="35F1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A8DF6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A055B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routing_old.yaml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9D4ED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0EF8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2989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routing.yaml 的旧版本留存文件；README 未说明其用途，依文件名推断为历史路由配置备份。</w:t>
            </w:r>
          </w:p>
        </w:tc>
      </w:tr>
      <w:tr w14:paraId="5335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9D5BD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75990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5E517A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E5FA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48074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自动化脚本目录，直接文件为 route_debs.py（从 GitHub Release 下载 .deb 并按 routing.yaml 分拣到 /srv/apt-incoming/）、bot_inject.sh（调用 reprepro 将暂存目录入库到 /srv/apt/）、dashboard.py（编译看板脚本）与 server.md（APT 服务器重建指南，README 指向该文档），共 4 个文件。</w:t>
            </w:r>
          </w:p>
        </w:tc>
      </w:tr>
    </w:tbl>
    <w:p w14:paraId="340EDC2A">
      <w:pPr>
        <w:pStyle w:val="3"/>
      </w:pPr>
      <w:bookmarkStart w:id="2" w:name="_Toc23762"/>
      <w:r>
        <w:t>三、目录用途说明</w:t>
      </w:r>
      <w:bookmarkEnd w:id="2"/>
    </w:p>
    <w:p w14:paraId="13D41E56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6341DE3">
      <w:pPr>
        <w:pStyle w:val="4"/>
      </w:pPr>
      <w:bookmarkStart w:id="3" w:name="_Toc25879"/>
      <w:r>
        <w:t>.github/</w:t>
      </w:r>
      <w:bookmarkEnd w:id="3"/>
    </w:p>
    <w:p w14:paraId="5A9C027D">
      <w:pPr>
        <w:ind w:firstLine="480" w:firstLineChars="200"/>
      </w:pPr>
      <w:r>
        <w:t>GitHub 协作配置目录，直接文件为 CODEOWNERS、ISSUE_TEMPLATE.md、PULL_REQUEST_TEMPLATE.md，下设 workflows/ 子目录，共 5 个递归文件。</w:t>
      </w:r>
    </w:p>
    <w:p w14:paraId="1436E6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5 个文件、1 个目录。README 未说明，依文件名推断</w:t>
      </w:r>
    </w:p>
    <w:p w14:paraId="23A8D3E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06AE3703">
      <w:pPr>
        <w:pStyle w:val="5"/>
      </w:pPr>
      <w:r>
        <w:t>.github/workflows/</w:t>
      </w:r>
    </w:p>
    <w:p w14:paraId="6CAD56C6">
      <w:pPr>
        <w:ind w:firstLine="480" w:firstLineChars="200"/>
      </w:pPr>
      <w:r>
        <w:t>GitHub Actions 工作流目录，含 dashboard.yml（README 说明每小时拉取 routing.yaml 中全部仓库的最新 Actions 状态）与 sync-and-inject.yml（README 文件结构中标注为 APT 入库 workflow），共 2 个 .yml 文件。</w:t>
      </w:r>
    </w:p>
    <w:p w14:paraId="2FCAB6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62ECC8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代表文件：dashboard.yml、sync-and-inject.yml。</w:t>
      </w:r>
    </w:p>
    <w:p w14:paraId="30DE3634">
      <w:pPr>
        <w:pStyle w:val="4"/>
      </w:pPr>
      <w:bookmarkStart w:id="4" w:name="_Toc19484"/>
      <w:r>
        <w:t>scripts/</w:t>
      </w:r>
      <w:bookmarkEnd w:id="4"/>
    </w:p>
    <w:p w14:paraId="0078A906">
      <w:pPr>
        <w:ind w:firstLine="480" w:firstLineChars="200"/>
      </w:pPr>
      <w:r>
        <w:t>自动化脚本目录，直接文件为 route_debs.py（从 GitHub Release 下载 .deb 并按 routing.yaml 分拣到 /srv/apt-incoming/）、bot_inject.sh（调用 reprepro 将暂存目录入库到 /srv/apt/）、dashboard.py（编译看板脚本）与 server.md（APT 服务器重建指南，README 指向该文档），共 4 个文件。</w:t>
      </w:r>
    </w:p>
    <w:p w14:paraId="4624B7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3D1814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根层代表文件：bot_inject.sh、dashboard.py、route_debs.py、server.md。</w:t>
      </w:r>
    </w:p>
    <w:p w14:paraId="19B6FF88">
      <w:pPr>
        <w:pStyle w:val="4"/>
      </w:pPr>
      <w:bookmarkStart w:id="5" w:name="_Toc17851"/>
      <w:r>
        <w:t>根目录文件</w:t>
      </w:r>
      <w:bookmarkEnd w:id="5"/>
    </w:p>
    <w:p w14:paraId="1E4331D0">
      <w:pPr>
        <w:ind w:firstLine="480" w:firstLineChars="200"/>
      </w:pPr>
      <w:r>
        <w:t>.gitignore：Git 忽略规则，声明不纳入版本控制的文件（README 文件结构中把 env 标注为 gitignore）。</w:t>
      </w:r>
    </w:p>
    <w:p w14:paraId="622B2FB7">
      <w:pPr>
        <w:ind w:firstLine="480" w:firstLineChars="200"/>
      </w:pPr>
      <w:r>
        <w:t>.gitmodules：Git 子模块声明，登记 roboparty_EtherCANFD 与 rp1_deploy 两个子模块。</w:t>
      </w:r>
    </w:p>
    <w:p w14:paraId="1448EB81">
      <w:pPr>
        <w:ind w:firstLine="480" w:firstLineChars="200"/>
      </w:pPr>
      <w:r>
        <w:t>build.md：构建相关说明文档。</w:t>
      </w:r>
    </w:p>
    <w:p w14:paraId="65B4B2E1">
      <w:pPr>
        <w:ind w:firstLine="480" w:firstLineChars="200"/>
      </w:pPr>
      <w:r>
        <w:t>manifest.xml：Android repo 工具使用的源码清单，README 说明它负责同步各个源码仓库并可查看清单中的项目，仓库切换默认分支时需同步修改对应项目的 revision。</w:t>
      </w:r>
    </w:p>
    <w:p w14:paraId="1822354D">
      <w:pPr>
        <w:ind w:firstLine="480" w:firstLineChars="200"/>
      </w:pPr>
      <w:r>
        <w:t>readme.md：仓库说明文档，介绍 APT 源自动化管理的完整流程。</w:t>
      </w:r>
    </w:p>
    <w:p w14:paraId="24B5F2FC">
      <w:pPr>
        <w:ind w:firstLine="480" w:firstLineChars="200"/>
      </w:pPr>
      <w:r>
        <w:t>routing.yaml：仓库与路由规则配置；README 给出示例，repos 列出要下载的 GitHub 仓库，routing 按 suite（如 common）配置 pattern 并可选用 version 锁定版本，默认拉取最新。</w:t>
      </w:r>
    </w:p>
    <w:p w14:paraId="7BEAE655">
      <w:pPr>
        <w:ind w:firstLine="480" w:firstLineChars="200"/>
      </w:pPr>
      <w:r>
        <w:t>routing_old.yaml：routing.yaml 的旧版本留存文件；README 未说明其用途，依文件名推断为历史路由配置备份。</w:t>
      </w:r>
    </w:p>
    <w:p w14:paraId="058FB563">
      <w:pPr>
        <w:pStyle w:val="3"/>
      </w:pPr>
      <w:bookmarkStart w:id="6" w:name="_Toc579"/>
      <w:r>
        <w:t>附录：完整文件清单</w:t>
      </w:r>
      <w:bookmarkEnd w:id="6"/>
    </w:p>
    <w:p w14:paraId="19A0BE83">
      <w:pPr>
        <w:ind w:firstLine="480" w:firstLineChars="200"/>
      </w:pPr>
      <w:r>
        <w:t>下表按路径列出该仓库全部 16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0FC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550346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7CCD6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02DB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CCE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45BAC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manifest.xml</w:t>
            </w:r>
          </w:p>
        </w:tc>
      </w:tr>
      <w:tr w14:paraId="0B79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2E5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33F74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5792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35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3BDA66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routing.yaml</w:t>
            </w:r>
          </w:p>
        </w:tc>
      </w:tr>
      <w:tr w14:paraId="245F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626D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.github/workflows/dashboard.yml</w:t>
            </w:r>
          </w:p>
        </w:tc>
        <w:tc>
          <w:tcPr>
            <w:tcW w:w="4535" w:type="dxa"/>
            <w:vAlign w:val="center"/>
          </w:tcPr>
          <w:p w14:paraId="7D1CE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routing_old.yaml</w:t>
            </w:r>
          </w:p>
        </w:tc>
      </w:tr>
      <w:tr w14:paraId="4532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A3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.github/workflows/sync-and-inject.yml</w:t>
            </w:r>
          </w:p>
        </w:tc>
        <w:tc>
          <w:tcPr>
            <w:tcW w:w="4535" w:type="dxa"/>
            <w:vAlign w:val="center"/>
          </w:tcPr>
          <w:p w14:paraId="6796AB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scripts/bot_inject.sh</w:t>
            </w:r>
          </w:p>
        </w:tc>
      </w:tr>
      <w:tr w14:paraId="29F3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3C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4473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scripts/dashboard.py</w:t>
            </w:r>
          </w:p>
        </w:tc>
      </w:tr>
      <w:tr w14:paraId="1555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8F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14413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scripts/route_debs.py</w:t>
            </w:r>
          </w:p>
        </w:tc>
      </w:tr>
      <w:tr w14:paraId="6F85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8B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build.md</w:t>
            </w:r>
          </w:p>
        </w:tc>
        <w:tc>
          <w:tcPr>
            <w:tcW w:w="4535" w:type="dxa"/>
            <w:vAlign w:val="center"/>
          </w:tcPr>
          <w:p w14:paraId="05BAE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scripts/server.md</w:t>
            </w:r>
          </w:p>
        </w:tc>
      </w:tr>
    </w:tbl>
    <w:p w14:paraId="5DB37492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B48C4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5870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af47f640577af76b1be54ef5d2954ddc04ed9e891622ed23d6aa0066a03e1997:eb2158687dc5fca9c99800bc6e3736c845ec47f2577e787982cb4bee3f5a85b5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16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AF1CA5C7F1184E27B0B017AD3A16EFC5_12</vt:lpwstr>
  </property>
</Properties>
</file>