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CFF65">
      <w:pPr>
        <w:pStyle w:val="33"/>
        <w:spacing w:before="3000"/>
      </w:pPr>
      <w:bookmarkStart w:id="10" w:name="_GoBack"/>
      <w:bookmarkEnd w:id="10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1D7AD143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rsl_rl</w:t>
      </w:r>
    </w:p>
    <w:p w14:paraId="7DE9EB47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79FAE359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仓库地址：https://github.com/Roboparty/rsl_rl</w:t>
      </w:r>
    </w:p>
    <w:p w14:paraId="0021F015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7B816E71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69995DDB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217D0FFB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_Toc5482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_Toc5482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3288B86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_Toc12308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_Toc12308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94E8D67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_Toc2714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_Toc2714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3F74D1E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_Toc12970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_Toc12970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C4B748E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_Toc11774 </w:instrText>
      </w:r>
      <w:r>
        <w:rPr>
          <w:rFonts w:ascii="Times New Roman" w:hAnsi="Times New Roman" w:eastAsia="宋体"/>
        </w:rPr>
        <w:fldChar w:fldCharType="separate"/>
      </w:r>
      <w:r>
        <w:t>config/</w:t>
      </w:r>
      <w:r>
        <w:tab/>
      </w:r>
      <w:r>
        <w:fldChar w:fldCharType="begin"/>
      </w:r>
      <w:r>
        <w:instrText xml:space="preserve"> PAGEREF _Toc11774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76F26FF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_Toc21031 </w:instrText>
      </w:r>
      <w:r>
        <w:rPr>
          <w:rFonts w:ascii="Times New Roman" w:hAnsi="Times New Roman" w:eastAsia="宋体"/>
        </w:rPr>
        <w:fldChar w:fldCharType="separate"/>
      </w:r>
      <w:r>
        <w:t>licenses/</w:t>
      </w:r>
      <w:r>
        <w:tab/>
      </w:r>
      <w:r>
        <w:fldChar w:fldCharType="begin"/>
      </w:r>
      <w:r>
        <w:instrText xml:space="preserve"> PAGEREF _Toc21031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E3C25D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_Toc4404 </w:instrText>
      </w:r>
      <w:r>
        <w:rPr>
          <w:rFonts w:ascii="Times New Roman" w:hAnsi="Times New Roman" w:eastAsia="宋体"/>
        </w:rPr>
        <w:fldChar w:fldCharType="separate"/>
      </w:r>
      <w:r>
        <w:t>rsl_rl/</w:t>
      </w:r>
      <w:r>
        <w:tab/>
      </w:r>
      <w:r>
        <w:fldChar w:fldCharType="begin"/>
      </w:r>
      <w:r>
        <w:instrText xml:space="preserve"> PAGEREF _Toc4404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B34A7F8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_Toc18340 </w:instrText>
      </w:r>
      <w:r>
        <w:rPr>
          <w:rFonts w:ascii="Times New Roman" w:hAnsi="Times New Roman" w:eastAsia="宋体"/>
        </w:rPr>
        <w:fldChar w:fldCharType="separate"/>
      </w:r>
      <w:r>
        <w:t>tests/</w:t>
      </w:r>
      <w:r>
        <w:tab/>
      </w:r>
      <w:r>
        <w:fldChar w:fldCharType="begin"/>
      </w:r>
      <w:r>
        <w:instrText xml:space="preserve"> PAGEREF _Toc18340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CA807C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_Toc9978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_Toc9978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20E9066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_Toc10423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_Toc10423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0DE5476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1102DD47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A5409CD">
      <w:pPr>
        <w:pStyle w:val="3"/>
      </w:pPr>
      <w:bookmarkStart w:id="0" w:name="_Toc5482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2D960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71BC467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46E7C0F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5AE86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7572D5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0FBA28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rsl_rl</w:t>
            </w:r>
          </w:p>
        </w:tc>
      </w:tr>
      <w:tr w14:paraId="44928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1C1F3B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71EBB7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https://github.com/Roboparty/rsl_rl</w:t>
            </w:r>
          </w:p>
        </w:tc>
      </w:tr>
      <w:tr w14:paraId="67C52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A2FD7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531706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 训练与算法</w:t>
            </w:r>
          </w:p>
        </w:tc>
      </w:tr>
      <w:tr w14:paraId="5FBD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20666E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73A218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005FE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D4D618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67AB75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NOASSERTION</w:t>
            </w:r>
          </w:p>
        </w:tc>
      </w:tr>
      <w:tr w14:paraId="0FDAF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AE78E7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3D22B8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</w:tr>
      <w:tr w14:paraId="2FB16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773E21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4A20D9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 GitHub 上的 fork 仓库</w:t>
            </w:r>
          </w:p>
        </w:tc>
      </w:tr>
      <w:tr w14:paraId="392F0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2B0691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4B5CA5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3F9C1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C2A24B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2CB53A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2026-01-08</w:t>
            </w:r>
          </w:p>
        </w:tc>
      </w:tr>
      <w:tr w14:paraId="302B7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373CA4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7D14AD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2026-07-07</w:t>
            </w:r>
          </w:p>
        </w:tc>
      </w:tr>
      <w:tr w14:paraId="3B1DB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2DFCAA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7A139B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2026-07-07</w:t>
            </w:r>
          </w:p>
        </w:tc>
      </w:tr>
      <w:tr w14:paraId="73D57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EAA5E2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5F6D86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</w:t>
            </w:r>
          </w:p>
        </w:tc>
      </w:tr>
      <w:tr w14:paraId="316C2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68329F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3FD489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</w:tr>
      <w:tr w14:paraId="62CC9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94061C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3A8E7C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</w:tr>
    </w:tbl>
    <w:p w14:paraId="7A30DAAC"/>
    <w:p w14:paraId="1A47596B">
      <w:pPr>
        <w:ind w:firstLine="480" w:firstLineChars="200"/>
      </w:pPr>
      <w:r>
        <w:t>本仓是 RoboParty 组织下的 RSL-RL 机器人学习算法库，元数据将其标记为 fork 仓库，且 README 中的克隆地址指向上游 leggedrobotics/rsl_rl。README 自述为「面向机器人学习的快速、简洁实现」，并给出综述论文 arXiv:2509.10771；维护者为 Mayank Mittal 与 Clemens Schwarke，署名单位为苏黎世联邦理工学院机器人与系统实验室（RSL）与 NVIDIA。</w:t>
      </w:r>
    </w:p>
    <w:p w14:paraId="3BD4009F">
      <w:pPr>
        <w:ind w:firstLine="480" w:firstLineChars="200"/>
      </w:pPr>
      <w:r>
        <w:t>仓库共 64 个受控文件、14 个目录、14 个顶层条目。顶层由 .github、config、licenses、rsl_rl、tests 五个目录与 .gitignore、.pre-commit-config.yaml、CITATION.cff、CONTRIBUTORS.md、LICENSE、README.md、pyproject.toml、ruff.toml、setup.py 九个文件组成；代码主体集中在 rsl_rl/ 的 40 个 .py 中，分布在 algorithms、env、modules、networks、runners、storage、utils 七个子目录。</w:t>
      </w:r>
    </w:p>
    <w:p w14:paraId="05AD1747">
      <w:pPr>
        <w:ind w:firstLine="480" w:firstLineChars="200"/>
      </w:pPr>
      <w:r>
        <w:t>README 说明该库当前支持 PPO 与 Student-Teacher Distillation 两类算法，并包含两项来自研究工作的特性：Random Network Distillation（RND，通过加入好奇心驱动的内在奖励鼓励探索）与 Symmetry-based Augmentation（让学到的行为更对称）。README 同时列出使用本框架的环境仓库：Isaac Lab、Legged Gym、MuJoCo Playground 与 mjlab。</w:t>
      </w:r>
    </w:p>
    <w:p w14:paraId="0918FF55">
      <w:pPr>
        <w:ind w:firstLine="480" w:firstLineChars="200"/>
      </w:pPr>
      <w:r>
        <w:t>安装方式为 pip install rsl-rl-lib，或克隆后 pip install -e .；日志框架可通过 logger 配置为 Tensorboard、Weights &amp; Biases 或 Neptune，PPO 的示例配置在 config/example_config.yaml。贡献方面 README 要求 docstring 采用 Google 风格指南，并使用 pre-commit 与 ruff（Rust 编写的 Python 检查与格式化工具）维护代码质量。</w:t>
      </w:r>
    </w:p>
    <w:p w14:paraId="07CDEC80">
      <w:pPr>
        <w:ind w:firstLine="480" w:firstLineChars="200"/>
      </w:pPr>
      <w:r>
        <w:t>需要如实说明两点：元数据中的许可证字段返回 NOASSERTION，本册照实显示而未作推断；仓内另有 licenses/dependencies/ 下 10 份第三方依赖的许可证文本（含 codespell、numpy、onnx、onnxscript、pre-commit、pre-commit-hooks、pyright、ruff、tensordict、torch）。</w:t>
      </w:r>
    </w:p>
    <w:p w14:paraId="0516FC19">
      <w:pPr>
        <w:ind w:firstLine="480" w:firstLineChars="200"/>
      </w:pPr>
      <w:r>
        <w:t>该仓含 README.md（原文约 4118 字符，本册已读到全文）；README 覆盖库的定位与综述论文、使用本框架的环境仓库（Isaac Lab、Legged Gym、MuJoCo Playground、mjlab）、支持的算法（PPO 与 Student-Teacher Distillation）与两项研究特性（RND、对称性增强）、安装与日志框架配置、贡献指南（Google 风格 docstring、pre-commit、ruff）以及三篇引用文献（arXiv 2509.10771、RND 与对称性增强的会议论文）。README 全文未说明 rsl_rl/ 各子目录、licenses/、tests/、.github/ 的用途。</w:t>
      </w:r>
    </w:p>
    <w:p w14:paraId="71D1B8FB">
      <w:pPr>
        <w:ind w:firstLine="480" w:firstLineChars="200"/>
      </w:pPr>
      <w:r>
        <w:t>该仓为 fork 仓库（元数据 is_fork 为真，README 的克隆地址指向上游 leggedrobotics/rsl_rl），采集元数据显示其最近提交与最近推送均为 2026-07-07、创建时间为 2026-01-08。</w:t>
      </w:r>
    </w:p>
    <w:p w14:paraId="3AE6540B">
      <w:pPr>
        <w:ind w:firstLine="480" w:firstLineChars="200"/>
      </w:pPr>
      <w:r>
        <w:t>README 全文未说明 rsl_rl/ 及其七个子目录、licenses/、licenses/dependencies/、tests/、tests/utils/、.github/ 的用途，本册对这些目录的说明均标注为 README 未说明、依文件名推断，并写明推断依据；其中 rsl_rl/ 各子目录的判定依据还包含目录内的真实模块文件名。</w:t>
      </w:r>
    </w:p>
    <w:p w14:paraId="04A6BA6C">
      <w:pPr>
        <w:pStyle w:val="3"/>
      </w:pPr>
      <w:bookmarkStart w:id="1" w:name="_Toc12308"/>
      <w:r>
        <w:t>二、顶层条目索引</w:t>
      </w:r>
      <w:bookmarkEnd w:id="1"/>
    </w:p>
    <w:p w14:paraId="14C4B934">
      <w:pPr>
        <w:ind w:firstLine="480" w:firstLineChars="200"/>
      </w:pPr>
      <w:r>
        <w:t>下表列出仓库根目录下的全部顶层条目（共 14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0BA89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4B6C5E4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69E86B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120CA13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5EF039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1D0F0B3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06F5F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F5D026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47501A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519E05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A6CFB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6F12B2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协作配置目录，直接文件为 LICENSE_HEADER.txt（1 个 .txt），无子目录。README 未说明该目录，依文件名推断为源文件的许可证头模板。</w:t>
            </w:r>
          </w:p>
        </w:tc>
      </w:tr>
      <w:tr w14:paraId="01C45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AC5C00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AA65F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EC67CC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AB666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AF482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1FEF8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24AFB4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29461B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.pre-commit-config.yaml</w:t>
            </w:r>
          </w:p>
        </w:tc>
        <w:tc>
          <w:tcPr>
            <w:tcW w:w="794" w:type="dxa"/>
            <w:vAlign w:val="center"/>
          </w:tcPr>
          <w:p w14:paraId="245BB3C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5CB7E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43F89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pre-commit 钩子配置；README 的贡献指南要求安装并运行 pre-commit（pre-commit install 与 pre-commit run --all-files）。</w:t>
            </w:r>
          </w:p>
        </w:tc>
      </w:tr>
      <w:tr w14:paraId="55FAC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AF8C3B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87EFF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CITATION.cff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FD5836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EF6A1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A1A07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学术引用信息；README 的 Citing 一节给出三篇应引用的文献（arXiv 2509.10771 以及 RND 与对称性增强的论文）。</w:t>
            </w:r>
          </w:p>
        </w:tc>
      </w:tr>
      <w:tr w14:paraId="2E771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9CFA9F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471D55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CONTRIBUTORS.md</w:t>
            </w:r>
          </w:p>
        </w:tc>
        <w:tc>
          <w:tcPr>
            <w:tcW w:w="794" w:type="dxa"/>
            <w:vAlign w:val="center"/>
          </w:tcPr>
          <w:p w14:paraId="23A0477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3D987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0846A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未点名该文件，依文件名推断为贡献者名单（README 正文仅列出两位维护者 Mayank Mittal 与 Clemens Schwarke）。</w:t>
            </w:r>
          </w:p>
        </w:tc>
      </w:tr>
      <w:tr w14:paraId="06398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433EB6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8BE33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46308C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4165A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DC363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许可证正文；元数据中该仓许可证字段返回 NOASSERTION，本册照实显示，未依据 README 作推断。</w:t>
            </w:r>
          </w:p>
        </w:tc>
      </w:tr>
      <w:tr w14:paraId="50F4D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1140E4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727340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62CECC5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081C5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239EC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仓库说明文档，介绍库的定位、支持的算法与特性、安装与日志配置、贡献指南与引用方式。</w:t>
            </w:r>
          </w:p>
        </w:tc>
      </w:tr>
      <w:tr w14:paraId="1898E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A64735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24415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config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E7FEAA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97C71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2DA34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配置目录，仅 1 个直接文件 example_config.yaml。README 的 Setup 一节明确指向该文件：For a demo configuration of PPO, please check the example_config.yaml file。</w:t>
            </w:r>
          </w:p>
        </w:tc>
      </w:tr>
      <w:tr w14:paraId="3C0ED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D897F0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646E18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licenses</w:t>
            </w:r>
          </w:p>
        </w:tc>
        <w:tc>
          <w:tcPr>
            <w:tcW w:w="794" w:type="dxa"/>
            <w:vAlign w:val="center"/>
          </w:tcPr>
          <w:p w14:paraId="0517A6B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4C17B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 个文件 / 1 个子目录</w:t>
            </w:r>
          </w:p>
        </w:tc>
        <w:tc>
          <w:tcPr>
            <w:tcW w:w="3685" w:type="dxa"/>
            <w:vAlign w:val="center"/>
          </w:tcPr>
          <w:p w14:paraId="316F63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第三方许可证目录，无直接文件，下设 dependencies/ 一个子目录，递归 10 个 .txt。README 未说明该目录，依文件名推断为随仓分发的依赖许可证文本汇总。</w:t>
            </w:r>
          </w:p>
        </w:tc>
      </w:tr>
      <w:tr w14:paraId="15A36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BF5802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48888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pyproject.toml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C64BBC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B478E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284C0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项目配置，声明依赖与打包方式；README 说明该包以 rsl-rl-lib 之名发布到 PyPI，也可克隆后用 pip install -e . 安装。</w:t>
            </w:r>
          </w:p>
        </w:tc>
      </w:tr>
      <w:tr w14:paraId="233F7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1B296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1851FC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rsl_rl</w:t>
            </w:r>
          </w:p>
        </w:tc>
        <w:tc>
          <w:tcPr>
            <w:tcW w:w="794" w:type="dxa"/>
            <w:vAlign w:val="center"/>
          </w:tcPr>
          <w:p w14:paraId="4D782CE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40230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40 个文件 / 7 个子目录</w:t>
            </w:r>
          </w:p>
        </w:tc>
        <w:tc>
          <w:tcPr>
            <w:tcW w:w="3685" w:type="dxa"/>
            <w:vAlign w:val="center"/>
          </w:tcPr>
          <w:p w14:paraId="36D443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算法库主体包，直接文件仅 __init__.py，下设 algorithms/、env/、modules/、networks/、runners/、storage/、utils/ 七个子目录，递归 40 个 .py。README 未直接说明该包目录结构（其安装命令为 pip install rsl-rl-lib），包内容依文件名与真实模块名判定。</w:t>
            </w:r>
          </w:p>
        </w:tc>
      </w:tr>
      <w:tr w14:paraId="703AE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53BA9B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5CC04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ruff.toml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C78555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CF043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53B31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ruff 检查与格式化配置；README 的贡献指南要求使用 ruff（Rust 编写的极快 Python linter 与格式化器）维护代码质量。</w:t>
            </w:r>
          </w:p>
        </w:tc>
      </w:tr>
      <w:tr w14:paraId="178C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65545A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335E7D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setup.py</w:t>
            </w:r>
          </w:p>
        </w:tc>
        <w:tc>
          <w:tcPr>
            <w:tcW w:w="794" w:type="dxa"/>
            <w:vAlign w:val="center"/>
          </w:tcPr>
          <w:p w14:paraId="50ECBE1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B3B7B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B84C0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打包与安装脚本；README 的安装方式（pip install -e .）依赖该入口。</w:t>
            </w:r>
          </w:p>
        </w:tc>
      </w:tr>
      <w:tr w14:paraId="7A944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CF3025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DF405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tests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7FC551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56BBE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FEF4F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测试目录，直接文件仅 __init__.py，下设 utils/ 一个子目录，递归 3 个 .py。README 未说明该目录。</w:t>
            </w:r>
          </w:p>
        </w:tc>
      </w:tr>
    </w:tbl>
    <w:p w14:paraId="6A417EDE">
      <w:pPr>
        <w:pStyle w:val="3"/>
      </w:pPr>
      <w:bookmarkStart w:id="2" w:name="_Toc2714"/>
      <w:r>
        <w:t>三、目录用途说明</w:t>
      </w:r>
      <w:bookmarkEnd w:id="2"/>
    </w:p>
    <w:p w14:paraId="0E266151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5EABE14C">
      <w:pPr>
        <w:pStyle w:val="4"/>
      </w:pPr>
      <w:bookmarkStart w:id="3" w:name="_Toc12970"/>
      <w:r>
        <w:t>.github/</w:t>
      </w:r>
      <w:bookmarkEnd w:id="3"/>
    </w:p>
    <w:p w14:paraId="1F6C4E00">
      <w:pPr>
        <w:ind w:firstLine="480" w:firstLineChars="200"/>
      </w:pPr>
      <w:r>
        <w:t>GitHub 协作配置目录，直接文件为 LICENSE_HEADER.txt（1 个 .txt），无子目录。README 未说明该目录，依文件名推断为源文件的许可证头模板。</w:t>
      </w:r>
    </w:p>
    <w:p w14:paraId="32724FB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6F91DC9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根层代表文件：LICENSE_HEADER.txt。</w:t>
      </w:r>
    </w:p>
    <w:p w14:paraId="0F9F7054">
      <w:pPr>
        <w:pStyle w:val="4"/>
      </w:pPr>
      <w:bookmarkStart w:id="4" w:name="_Toc11774"/>
      <w:r>
        <w:t>config/</w:t>
      </w:r>
      <w:bookmarkEnd w:id="4"/>
    </w:p>
    <w:p w14:paraId="4FF87585">
      <w:pPr>
        <w:ind w:firstLine="480" w:firstLineChars="200"/>
      </w:pPr>
      <w:r>
        <w:t>配置目录，仅 1 个直接文件 example_config.yaml。README 的 Setup 一节明确指向该文件：For a demo configuration of PPO, please check the example_config.yaml file。</w:t>
      </w:r>
    </w:p>
    <w:p w14:paraId="001E01D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1C6A3EF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根层代表文件：example_config.yaml。</w:t>
      </w:r>
    </w:p>
    <w:p w14:paraId="2FDC8A0C">
      <w:pPr>
        <w:pStyle w:val="4"/>
      </w:pPr>
      <w:bookmarkStart w:id="5" w:name="_Toc21031"/>
      <w:r>
        <w:t>licenses/</w:t>
      </w:r>
      <w:bookmarkEnd w:id="5"/>
    </w:p>
    <w:p w14:paraId="23697F98">
      <w:pPr>
        <w:ind w:firstLine="480" w:firstLineChars="200"/>
      </w:pPr>
      <w:r>
        <w:t>第三方许可证目录，无直接文件，下设 dependencies/ 一个子目录，递归 10 个 .txt。README 未说明该目录，依文件名推断为随仓分发的依赖许可证文本汇总。</w:t>
      </w:r>
    </w:p>
    <w:p w14:paraId="537C00D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10 个文件、1 个目录。README 未说明，依文件名推断</w:t>
      </w:r>
    </w:p>
    <w:p w14:paraId="54307EE5">
      <w:pPr>
        <w:pStyle w:val="5"/>
      </w:pPr>
      <w:r>
        <w:t>licenses/dependencies/</w:t>
      </w:r>
    </w:p>
    <w:p w14:paraId="66BD04C1">
      <w:pPr>
        <w:ind w:firstLine="480" w:firstLineChars="200"/>
      </w:pPr>
      <w:r>
        <w:t>依赖许可证文本目录，10 个直接 .txt：codespell-license.txt、numpy-license.txt、onnx-license.txt、onnxscript-license.txt、pre-commit-hooks-license.txt、pre-commit-license.txt、pyright-license.txt、ruff-license.txt、tensordict-license.txt、torch-license.txt，与本仓的代码质量工具链和运行依赖一一对应。</w:t>
      </w:r>
    </w:p>
    <w:p w14:paraId="049FC16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10 个，子目录 0 个；递归共 10 个文件、0 个目录。README 未说明，依文件名推断</w:t>
      </w:r>
    </w:p>
    <w:p w14:paraId="42438BD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代表文件：codespell-license.txt、numpy-license.txt、onnx-license.txt、onnxscript-license.txt、pre-commit-hooks-license.txt、pre-commit-license.txt、pyright-license.txt、ruff-license.txt；另有 2 个直接文件。</w:t>
      </w:r>
    </w:p>
    <w:p w14:paraId="3F9C898C">
      <w:pPr>
        <w:pStyle w:val="4"/>
      </w:pPr>
      <w:bookmarkStart w:id="6" w:name="_Toc4404"/>
      <w:r>
        <w:t>rsl_rl/</w:t>
      </w:r>
      <w:bookmarkEnd w:id="6"/>
    </w:p>
    <w:p w14:paraId="4146A798">
      <w:pPr>
        <w:ind w:firstLine="480" w:firstLineChars="200"/>
      </w:pPr>
      <w:r>
        <w:t>算法库主体包，直接文件仅 __init__.py，下设 algorithms/、env/、modules/、networks/、runners/、storage/、utils/ 七个子目录，递归 40 个 .py。README 未直接说明该包目录结构（其安装命令为 pip install rsl-rl-lib），包内容依文件名与真实模块名判定。</w:t>
      </w:r>
    </w:p>
    <w:p w14:paraId="1E2D3D1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7 个；递归共 40 个文件、7 个目录。README 未说明，依文件名推断</w:t>
      </w:r>
    </w:p>
    <w:p w14:paraId="29C894F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根层代表文件：__init__.py。</w:t>
      </w:r>
    </w:p>
    <w:p w14:paraId="0E53DF9C">
      <w:pPr>
        <w:pStyle w:val="5"/>
      </w:pPr>
      <w:r>
        <w:t>rsl_rl/algorithms/</w:t>
      </w:r>
    </w:p>
    <w:p w14:paraId="40F9F619">
      <w:pPr>
        <w:ind w:firstLine="480" w:firstLineChars="200"/>
      </w:pPr>
      <w:r>
        <w:t>算法实现目录，4 个 .py：__init__.py、ppo.py、distillation.py、ppo_amp.py。其中 ppo.py 与 distillation.py 对应 README 所述 PPO 与 Student-Teacher Distillation 两类算法。</w:t>
      </w:r>
    </w:p>
    <w:p w14:paraId="2DD3E8A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19D449D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代表文件：__init__.py、distillation.py、ppo.py、ppo_amp.py。</w:t>
      </w:r>
    </w:p>
    <w:p w14:paraId="1B098EC6">
      <w:pPr>
        <w:pStyle w:val="5"/>
      </w:pPr>
      <w:r>
        <w:t>rsl_rl/env/</w:t>
      </w:r>
    </w:p>
    <w:p w14:paraId="090CA966">
      <w:pPr>
        <w:ind w:firstLine="480" w:firstLineChars="200"/>
      </w:pPr>
      <w:r>
        <w:t>环境接口目录，2 个 .py：__init__.py 与 vec_env.py，依文件名推断为向量化环境封装接口。</w:t>
      </w:r>
    </w:p>
    <w:p w14:paraId="43824AA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665EBB3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代表文件：__init__.py、vec_env.py。</w:t>
      </w:r>
    </w:p>
    <w:p w14:paraId="359E2D80">
      <w:pPr>
        <w:pStyle w:val="5"/>
      </w:pPr>
      <w:r>
        <w:t>rsl_rl/modules/</w:t>
      </w:r>
    </w:p>
    <w:p w14:paraId="5D632A7F">
      <w:pPr>
        <w:ind w:firstLine="480" w:firstLineChars="200"/>
      </w:pPr>
      <w:r>
        <w:t>模型模块目录，14 个 .py：__init__.py、actor_critic.py、actor_critic_attn_enc.py、actor_critic_cnn.py、actor_critic_encoder.py、actor_critic_encoder_moe.py、actor_critic_moe.py、actor_critic_recurrent.py、amp.py、moe.py、rnd.py、student_teacher.py、student_teacher_recurrent.py、symmetry.py。其中 rnd.py 与 symmetry.py 对应 README 所述 RND 与对称性增强两项研究特性，student_teacher.py 对应 Student-Teacher Distillation。</w:t>
      </w:r>
    </w:p>
    <w:p w14:paraId="7D8E3D8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14 个，子目录 0 个；递归共 14 个文件、0 个目录。README 未说明，依文件名推断</w:t>
      </w:r>
    </w:p>
    <w:p w14:paraId="63FF2B9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代表文件：__init__.py、actor_critic.py、actor_critic_attn_enc.py、actor_critic_cnn.py、actor_critic_encoder.py、actor_critic_encoder_moe.py、actor_critic_moe.py、actor_critic_recurrent.py；另有 6 个直接文件。</w:t>
      </w:r>
    </w:p>
    <w:p w14:paraId="7B6B1AA2">
      <w:pPr>
        <w:pStyle w:val="5"/>
      </w:pPr>
      <w:r>
        <w:t>rsl_rl/networks/</w:t>
      </w:r>
    </w:p>
    <w:p w14:paraId="36EA7B13">
      <w:pPr>
        <w:ind w:firstLine="480" w:firstLineChars="200"/>
      </w:pPr>
      <w:r>
        <w:t>基础网络层目录，6 个 .py：__init__.py、mlp.py、cnn.py、memory.py、attn_encoder.py、normalization.py，依文件名推断为多层感知机、卷积、记忆单元、注意力编码器与归一化等网络构件。</w:t>
      </w:r>
    </w:p>
    <w:p w14:paraId="2540257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个目录。README 未说明，依文件名推断</w:t>
      </w:r>
    </w:p>
    <w:p w14:paraId="0C1E957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代表文件：__init__.py、attn_encoder.py、cnn.py、memory.py、mlp.py、normalization.py。</w:t>
      </w:r>
    </w:p>
    <w:p w14:paraId="6C343C6D">
      <w:pPr>
        <w:pStyle w:val="5"/>
      </w:pPr>
      <w:r>
        <w:t>rsl_rl/runners/</w:t>
      </w:r>
    </w:p>
    <w:p w14:paraId="575F0232">
      <w:pPr>
        <w:ind w:firstLine="480" w:firstLineChars="200"/>
      </w:pPr>
      <w:r>
        <w:t>训练运行器目录，4 个 .py：__init__.py、on_policy_runner.py、distillation_runner.py、amp_runner.py，依文件名推断分别驱动在策略训练、蒸馏训练与 AMP 训练流程。</w:t>
      </w:r>
    </w:p>
    <w:p w14:paraId="4AAA281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6EDB5EA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代表文件：__init__.py、amp_runner.py、distillation_runner.py、on_policy_runner.py。</w:t>
      </w:r>
    </w:p>
    <w:p w14:paraId="54230213">
      <w:pPr>
        <w:pStyle w:val="5"/>
      </w:pPr>
      <w:r>
        <w:t>rsl_rl/storage/</w:t>
      </w:r>
    </w:p>
    <w:p w14:paraId="44044525">
      <w:pPr>
        <w:ind w:firstLine="480" w:firstLineChars="200"/>
      </w:pPr>
      <w:r>
        <w:t>经验存储目录，3 个 .py：__init__.py、rollout_storage.py、circular_buffer.py，依文件名推断为 roll-out 数据存储与循环缓冲区实现。</w:t>
      </w:r>
    </w:p>
    <w:p w14:paraId="788F912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1C3803C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代表文件：__init__.py、circular_buffer.py、rollout_storage.py。</w:t>
      </w:r>
    </w:p>
    <w:p w14:paraId="77C51C6D">
      <w:pPr>
        <w:pStyle w:val="5"/>
      </w:pPr>
      <w:r>
        <w:t>rsl_rl/utils/</w:t>
      </w:r>
    </w:p>
    <w:p w14:paraId="6B5471CA">
      <w:pPr>
        <w:ind w:firstLine="480" w:firstLineChars="200"/>
      </w:pPr>
      <w:r>
        <w:t>工具目录，6 个 .py：__init__.py、logger.py、amp_logger.py、wandb_utils.py、neptune_utils.py、utils.py。其中 wandb_utils.py 与 neptune_utils.py 对应 README 所述可经 logger 配置的 Weights &amp; Biases 与 Neptune 日志框架。</w:t>
      </w:r>
    </w:p>
    <w:p w14:paraId="1D92F82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个目录。README 未说明，依文件名推断</w:t>
      </w:r>
    </w:p>
    <w:p w14:paraId="0AAB20A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代表文件：__init__.py、amp_logger.py、logger.py、neptune_utils.py、utils.py、wandb_utils.py。</w:t>
      </w:r>
    </w:p>
    <w:p w14:paraId="0390ED0C">
      <w:pPr>
        <w:pStyle w:val="4"/>
      </w:pPr>
      <w:bookmarkStart w:id="7" w:name="_Toc18340"/>
      <w:r>
        <w:t>tests/</w:t>
      </w:r>
      <w:bookmarkEnd w:id="7"/>
    </w:p>
    <w:p w14:paraId="1442744E">
      <w:pPr>
        <w:ind w:firstLine="480" w:firstLineChars="200"/>
      </w:pPr>
      <w:r>
        <w:t>测试目录，直接文件仅 __init__.py，下设 utils/ 一个子目录，递归 3 个 .py。README 未说明该目录。</w:t>
      </w:r>
    </w:p>
    <w:p w14:paraId="0EB7568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1 个；递归共 3 个文件、1 个目录。README 未说明，依文件名推断</w:t>
      </w:r>
    </w:p>
    <w:p w14:paraId="6E5F7EF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根层代表文件：__init__.py。</w:t>
      </w:r>
    </w:p>
    <w:p w14:paraId="00B90265">
      <w:pPr>
        <w:pStyle w:val="5"/>
      </w:pPr>
      <w:r>
        <w:t>tests/utils/</w:t>
      </w:r>
    </w:p>
    <w:p w14:paraId="18A334D7">
      <w:pPr>
        <w:ind w:firstLine="480" w:firstLineChars="200"/>
      </w:pPr>
      <w:r>
        <w:t>测试工具目录，2 个 .py：__init__.py 与 test_resolve_callable.py，依文件名推断为可调用对象解析逻辑的单元测试。</w:t>
      </w:r>
    </w:p>
    <w:p w14:paraId="252BF8D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291B4EB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代表文件：__init__.py、test_resolve_callable.py。</w:t>
      </w:r>
    </w:p>
    <w:p w14:paraId="31C18FE2">
      <w:pPr>
        <w:pStyle w:val="4"/>
      </w:pPr>
      <w:bookmarkStart w:id="8" w:name="_Toc9978"/>
      <w:r>
        <w:t>根目录文件</w:t>
      </w:r>
      <w:bookmarkEnd w:id="8"/>
    </w:p>
    <w:p w14:paraId="525E44B1">
      <w:pPr>
        <w:ind w:firstLine="480" w:firstLineChars="200"/>
      </w:pPr>
      <w:r>
        <w:t>.gitignore：Git 忽略规则，声明不纳入版本控制的文件。</w:t>
      </w:r>
    </w:p>
    <w:p w14:paraId="6B02136D">
      <w:pPr>
        <w:ind w:firstLine="480" w:firstLineChars="200"/>
      </w:pPr>
      <w:r>
        <w:t>.pre-commit-config.yaml：pre-commit 钩子配置；README 的贡献指南要求安装并运行 pre-commit（pre-commit install 与 pre-commit run --all-files）。</w:t>
      </w:r>
    </w:p>
    <w:p w14:paraId="228D43C1">
      <w:pPr>
        <w:ind w:firstLine="480" w:firstLineChars="200"/>
      </w:pPr>
      <w:r>
        <w:t>CITATION.cff：学术引用信息；README 的 Citing 一节给出三篇应引用的文献（arXiv 2509.10771 以及 RND 与对称性增强的论文）。</w:t>
      </w:r>
    </w:p>
    <w:p w14:paraId="0A31DE73">
      <w:pPr>
        <w:ind w:firstLine="480" w:firstLineChars="200"/>
      </w:pPr>
      <w:r>
        <w:t>CONTRIBUTORS.md：README 未点名该文件，依文件名推断为贡献者名单（README 正文仅列出两位维护者 Mayank Mittal 与 Clemens Schwarke）。</w:t>
      </w:r>
    </w:p>
    <w:p w14:paraId="527FC9DB">
      <w:pPr>
        <w:ind w:firstLine="480" w:firstLineChars="200"/>
      </w:pPr>
      <w:r>
        <w:t>LICENSE：许可证正文；元数据中该仓许可证字段返回 NOASSERTION，本册照实显示，未依据 README 作推断。</w:t>
      </w:r>
    </w:p>
    <w:p w14:paraId="17E21306">
      <w:pPr>
        <w:ind w:firstLine="480" w:firstLineChars="200"/>
      </w:pPr>
      <w:r>
        <w:t>README.md：仓库说明文档，介绍库的定位、支持的算法与特性、安装与日志配置、贡献指南与引用方式。</w:t>
      </w:r>
    </w:p>
    <w:p w14:paraId="13A0656A">
      <w:pPr>
        <w:ind w:firstLine="480" w:firstLineChars="200"/>
      </w:pPr>
      <w:r>
        <w:t>pyproject.toml：Python 项目配置，声明依赖与打包方式；README 说明该包以 rsl-rl-lib 之名发布到 PyPI，也可克隆后用 pip install -e . 安装。</w:t>
      </w:r>
    </w:p>
    <w:p w14:paraId="13F5E712">
      <w:pPr>
        <w:ind w:firstLine="480" w:firstLineChars="200"/>
      </w:pPr>
      <w:r>
        <w:t>ruff.toml：ruff 检查与格式化配置；README 的贡献指南要求使用 ruff（Rust 编写的极快 Python linter 与格式化器）维护代码质量。</w:t>
      </w:r>
    </w:p>
    <w:p w14:paraId="0B81F051">
      <w:pPr>
        <w:ind w:firstLine="480" w:firstLineChars="200"/>
      </w:pPr>
      <w:r>
        <w:t>setup.py：Python 打包与安装脚本；README 的安装方式（pip install -e .）依赖该入口。</w:t>
      </w:r>
    </w:p>
    <w:p w14:paraId="0BC43FA5">
      <w:pPr>
        <w:pStyle w:val="3"/>
      </w:pPr>
      <w:bookmarkStart w:id="9" w:name="_Toc10423"/>
      <w:r>
        <w:t>附录：完整文件清单</w:t>
      </w:r>
      <w:bookmarkEnd w:id="9"/>
    </w:p>
    <w:p w14:paraId="1886BBF7">
      <w:pPr>
        <w:ind w:firstLine="480" w:firstLineChars="200"/>
      </w:pPr>
      <w:r>
        <w:t>下表按路径列出该仓库全部 64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178CB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6E011F5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1258E60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7D44F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3626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.github/LICENSE_HEADER.txt</w:t>
            </w:r>
          </w:p>
        </w:tc>
        <w:tc>
          <w:tcPr>
            <w:tcW w:w="4535" w:type="dxa"/>
            <w:vAlign w:val="center"/>
          </w:tcPr>
          <w:p w14:paraId="5BC513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rsl_rl/modules/actor_critic_moe.py</w:t>
            </w:r>
          </w:p>
        </w:tc>
      </w:tr>
      <w:tr w14:paraId="0BCA2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87B3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4F0899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rsl_rl/modules/actor_critic_recurrent.py</w:t>
            </w:r>
          </w:p>
        </w:tc>
      </w:tr>
      <w:tr w14:paraId="2FE59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339E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.pre-commit-config.yaml</w:t>
            </w:r>
          </w:p>
        </w:tc>
        <w:tc>
          <w:tcPr>
            <w:tcW w:w="4535" w:type="dxa"/>
            <w:vAlign w:val="center"/>
          </w:tcPr>
          <w:p w14:paraId="4B38F2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rsl_rl/modules/amp.py</w:t>
            </w:r>
          </w:p>
        </w:tc>
      </w:tr>
      <w:tr w14:paraId="194BC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4167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CITATION.cff</w:t>
            </w:r>
          </w:p>
        </w:tc>
        <w:tc>
          <w:tcPr>
            <w:tcW w:w="4535" w:type="dxa"/>
            <w:vAlign w:val="center"/>
          </w:tcPr>
          <w:p w14:paraId="2309FE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rsl_rl/modules/moe.py</w:t>
            </w:r>
          </w:p>
        </w:tc>
      </w:tr>
      <w:tr w14:paraId="6BB6B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3ECA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CONTRIBUTORS.md</w:t>
            </w:r>
          </w:p>
        </w:tc>
        <w:tc>
          <w:tcPr>
            <w:tcW w:w="4535" w:type="dxa"/>
            <w:vAlign w:val="center"/>
          </w:tcPr>
          <w:p w14:paraId="3BBDE5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rsl_rl/modules/rnd.py</w:t>
            </w:r>
          </w:p>
        </w:tc>
      </w:tr>
      <w:tr w14:paraId="41170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4302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32EE14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rsl_rl/modules/student_teacher.py</w:t>
            </w:r>
          </w:p>
        </w:tc>
      </w:tr>
      <w:tr w14:paraId="4139B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56F8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37DFF1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rsl_rl/modules/student_teacher_recurrent.py</w:t>
            </w:r>
          </w:p>
        </w:tc>
      </w:tr>
      <w:tr w14:paraId="43C8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E6B4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config/example_config.yaml</w:t>
            </w:r>
          </w:p>
        </w:tc>
        <w:tc>
          <w:tcPr>
            <w:tcW w:w="4535" w:type="dxa"/>
            <w:vAlign w:val="center"/>
          </w:tcPr>
          <w:p w14:paraId="491D82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rsl_rl/modules/symmetry.py</w:t>
            </w:r>
          </w:p>
        </w:tc>
      </w:tr>
      <w:tr w14:paraId="69A64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EF5A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licenses/dependencies/codespell-license.txt</w:t>
            </w:r>
          </w:p>
        </w:tc>
        <w:tc>
          <w:tcPr>
            <w:tcW w:w="4535" w:type="dxa"/>
            <w:vAlign w:val="center"/>
          </w:tcPr>
          <w:p w14:paraId="3CE9BA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rsl_rl/networks/__init__.py</w:t>
            </w:r>
          </w:p>
        </w:tc>
      </w:tr>
      <w:tr w14:paraId="2B74B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8389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licenses/dependencies/numpy-license.txt</w:t>
            </w:r>
          </w:p>
        </w:tc>
        <w:tc>
          <w:tcPr>
            <w:tcW w:w="4535" w:type="dxa"/>
            <w:vAlign w:val="center"/>
          </w:tcPr>
          <w:p w14:paraId="3A5A85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rsl_rl/networks/attn_encoder.py</w:t>
            </w:r>
          </w:p>
        </w:tc>
      </w:tr>
      <w:tr w14:paraId="37553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D1AE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licenses/dependencies/onnx-license.txt</w:t>
            </w:r>
          </w:p>
        </w:tc>
        <w:tc>
          <w:tcPr>
            <w:tcW w:w="4535" w:type="dxa"/>
            <w:vAlign w:val="center"/>
          </w:tcPr>
          <w:p w14:paraId="4CD7E4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rsl_rl/networks/cnn.py</w:t>
            </w:r>
          </w:p>
        </w:tc>
      </w:tr>
      <w:tr w14:paraId="5E962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4714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licenses/dependencies/onnxscript-license.txt</w:t>
            </w:r>
          </w:p>
        </w:tc>
        <w:tc>
          <w:tcPr>
            <w:tcW w:w="4535" w:type="dxa"/>
            <w:vAlign w:val="center"/>
          </w:tcPr>
          <w:p w14:paraId="429B68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rsl_rl/networks/memory.py</w:t>
            </w:r>
          </w:p>
        </w:tc>
      </w:tr>
      <w:tr w14:paraId="688C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FF35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licenses/dependencies/pre-commit-hooks-license.txt</w:t>
            </w:r>
          </w:p>
        </w:tc>
        <w:tc>
          <w:tcPr>
            <w:tcW w:w="4535" w:type="dxa"/>
            <w:vAlign w:val="center"/>
          </w:tcPr>
          <w:p w14:paraId="7B26E7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rsl_rl/networks/mlp.py</w:t>
            </w:r>
          </w:p>
        </w:tc>
      </w:tr>
      <w:tr w14:paraId="23000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B48A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licenses/dependencies/pre-commit-license.txt</w:t>
            </w:r>
          </w:p>
        </w:tc>
        <w:tc>
          <w:tcPr>
            <w:tcW w:w="4535" w:type="dxa"/>
            <w:vAlign w:val="center"/>
          </w:tcPr>
          <w:p w14:paraId="694832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rsl_rl/networks/normalization.py</w:t>
            </w:r>
          </w:p>
        </w:tc>
      </w:tr>
      <w:tr w14:paraId="41222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0D14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licenses/dependencies/pyright-license.txt</w:t>
            </w:r>
          </w:p>
        </w:tc>
        <w:tc>
          <w:tcPr>
            <w:tcW w:w="4535" w:type="dxa"/>
            <w:vAlign w:val="center"/>
          </w:tcPr>
          <w:p w14:paraId="354B8C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rsl_rl/runners/__init__.py</w:t>
            </w:r>
          </w:p>
        </w:tc>
      </w:tr>
      <w:tr w14:paraId="212EF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BAC5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licenses/dependencies/ruff-license.txt</w:t>
            </w:r>
          </w:p>
        </w:tc>
        <w:tc>
          <w:tcPr>
            <w:tcW w:w="4535" w:type="dxa"/>
            <w:vAlign w:val="center"/>
          </w:tcPr>
          <w:p w14:paraId="542FFE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rsl_rl/runners/amp_runner.py</w:t>
            </w:r>
          </w:p>
        </w:tc>
      </w:tr>
      <w:tr w14:paraId="4CE3F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3B83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licenses/dependencies/tensordict-license.txt</w:t>
            </w:r>
          </w:p>
        </w:tc>
        <w:tc>
          <w:tcPr>
            <w:tcW w:w="4535" w:type="dxa"/>
            <w:vAlign w:val="center"/>
          </w:tcPr>
          <w:p w14:paraId="231F35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rsl_rl/runners/distillation_runner.py</w:t>
            </w:r>
          </w:p>
        </w:tc>
      </w:tr>
      <w:tr w14:paraId="50B32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7885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licenses/dependencies/torch-license.txt</w:t>
            </w:r>
          </w:p>
        </w:tc>
        <w:tc>
          <w:tcPr>
            <w:tcW w:w="4535" w:type="dxa"/>
            <w:vAlign w:val="center"/>
          </w:tcPr>
          <w:p w14:paraId="0C29CE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rsl_rl/runners/on_policy_runner.py</w:t>
            </w:r>
          </w:p>
        </w:tc>
      </w:tr>
      <w:tr w14:paraId="6A7EA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8B0B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pyproject.toml</w:t>
            </w:r>
          </w:p>
        </w:tc>
        <w:tc>
          <w:tcPr>
            <w:tcW w:w="4535" w:type="dxa"/>
            <w:vAlign w:val="center"/>
          </w:tcPr>
          <w:p w14:paraId="3696B6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rsl_rl/storage/__init__.py</w:t>
            </w:r>
          </w:p>
        </w:tc>
      </w:tr>
      <w:tr w14:paraId="7E74B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08FC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rsl_rl/__init__.py</w:t>
            </w:r>
          </w:p>
        </w:tc>
        <w:tc>
          <w:tcPr>
            <w:tcW w:w="4535" w:type="dxa"/>
            <w:vAlign w:val="center"/>
          </w:tcPr>
          <w:p w14:paraId="10D45A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rsl_rl/storage/circular_buffer.py</w:t>
            </w:r>
          </w:p>
        </w:tc>
      </w:tr>
      <w:tr w14:paraId="63FC9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DDBE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rsl_rl/algorithms/__init__.py</w:t>
            </w:r>
          </w:p>
        </w:tc>
        <w:tc>
          <w:tcPr>
            <w:tcW w:w="4535" w:type="dxa"/>
            <w:vAlign w:val="center"/>
          </w:tcPr>
          <w:p w14:paraId="2BDD3D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rsl_rl/storage/rollout_storage.py</w:t>
            </w:r>
          </w:p>
        </w:tc>
      </w:tr>
      <w:tr w14:paraId="5F5CD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4B0B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rsl_rl/algorithms/distillation.py</w:t>
            </w:r>
          </w:p>
        </w:tc>
        <w:tc>
          <w:tcPr>
            <w:tcW w:w="4535" w:type="dxa"/>
            <w:vAlign w:val="center"/>
          </w:tcPr>
          <w:p w14:paraId="244CD1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rsl_rl/utils/__init__.py</w:t>
            </w:r>
          </w:p>
        </w:tc>
      </w:tr>
      <w:tr w14:paraId="5B92E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0AD2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rsl_rl/algorithms/ppo.py</w:t>
            </w:r>
          </w:p>
        </w:tc>
        <w:tc>
          <w:tcPr>
            <w:tcW w:w="4535" w:type="dxa"/>
            <w:vAlign w:val="center"/>
          </w:tcPr>
          <w:p w14:paraId="49F357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rsl_rl/utils/amp_logger.py</w:t>
            </w:r>
          </w:p>
        </w:tc>
      </w:tr>
      <w:tr w14:paraId="66F14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B103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rsl_rl/algorithms/ppo_amp.py</w:t>
            </w:r>
          </w:p>
        </w:tc>
        <w:tc>
          <w:tcPr>
            <w:tcW w:w="4535" w:type="dxa"/>
            <w:vAlign w:val="center"/>
          </w:tcPr>
          <w:p w14:paraId="2F43AA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rsl_rl/utils/logger.py</w:t>
            </w:r>
          </w:p>
        </w:tc>
      </w:tr>
      <w:tr w14:paraId="38881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8817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rsl_rl/env/__init__.py</w:t>
            </w:r>
          </w:p>
        </w:tc>
        <w:tc>
          <w:tcPr>
            <w:tcW w:w="4535" w:type="dxa"/>
            <w:vAlign w:val="center"/>
          </w:tcPr>
          <w:p w14:paraId="5D3CBF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rsl_rl/utils/neptune_utils.py</w:t>
            </w:r>
          </w:p>
        </w:tc>
      </w:tr>
      <w:tr w14:paraId="3E21F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33D4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rsl_rl/env/vec_env.py</w:t>
            </w:r>
          </w:p>
        </w:tc>
        <w:tc>
          <w:tcPr>
            <w:tcW w:w="4535" w:type="dxa"/>
            <w:vAlign w:val="center"/>
          </w:tcPr>
          <w:p w14:paraId="073727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rsl_rl/utils/utils.py</w:t>
            </w:r>
          </w:p>
        </w:tc>
      </w:tr>
      <w:tr w14:paraId="0177E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0B88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rsl_rl/modules/__init__.py</w:t>
            </w:r>
          </w:p>
        </w:tc>
        <w:tc>
          <w:tcPr>
            <w:tcW w:w="4535" w:type="dxa"/>
            <w:vAlign w:val="center"/>
          </w:tcPr>
          <w:p w14:paraId="4BDAE9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rsl_rl/utils/wandb_utils.py</w:t>
            </w:r>
          </w:p>
        </w:tc>
      </w:tr>
      <w:tr w14:paraId="09504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C545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rsl_rl/modules/actor_critic.py</w:t>
            </w:r>
          </w:p>
        </w:tc>
        <w:tc>
          <w:tcPr>
            <w:tcW w:w="4535" w:type="dxa"/>
            <w:vAlign w:val="center"/>
          </w:tcPr>
          <w:p w14:paraId="2FE368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ruff.toml</w:t>
            </w:r>
          </w:p>
        </w:tc>
      </w:tr>
      <w:tr w14:paraId="2F510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3B48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rsl_rl/modules/actor_critic_attn_enc.py</w:t>
            </w:r>
          </w:p>
        </w:tc>
        <w:tc>
          <w:tcPr>
            <w:tcW w:w="4535" w:type="dxa"/>
            <w:vAlign w:val="center"/>
          </w:tcPr>
          <w:p w14:paraId="3DD34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setup.py</w:t>
            </w:r>
          </w:p>
        </w:tc>
      </w:tr>
      <w:tr w14:paraId="20FD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D516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rsl_rl/modules/actor_critic_cnn.py</w:t>
            </w:r>
          </w:p>
        </w:tc>
        <w:tc>
          <w:tcPr>
            <w:tcW w:w="4535" w:type="dxa"/>
            <w:vAlign w:val="center"/>
          </w:tcPr>
          <w:p w14:paraId="52FA03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tests/__init__.py</w:t>
            </w:r>
          </w:p>
        </w:tc>
      </w:tr>
      <w:tr w14:paraId="3CD4A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DFAC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rsl_rl/modules/actor_critic_encoder.py</w:t>
            </w:r>
          </w:p>
        </w:tc>
        <w:tc>
          <w:tcPr>
            <w:tcW w:w="4535" w:type="dxa"/>
            <w:vAlign w:val="center"/>
          </w:tcPr>
          <w:p w14:paraId="330DA1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tests/utils/__init__.py</w:t>
            </w:r>
          </w:p>
        </w:tc>
      </w:tr>
      <w:tr w14:paraId="5DC16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6270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rsl_rl/modules/actor_critic_encoder_moe.py</w:t>
            </w:r>
          </w:p>
        </w:tc>
        <w:tc>
          <w:tcPr>
            <w:tcW w:w="4535" w:type="dxa"/>
            <w:vAlign w:val="center"/>
          </w:tcPr>
          <w:p w14:paraId="6EF20E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tests/utils/test_resolve_callable.py</w:t>
            </w:r>
          </w:p>
        </w:tc>
      </w:tr>
    </w:tbl>
    <w:p w14:paraId="5277547F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F081D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4F5B3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0A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qFormat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FAB5C01ED99640B4B6985814ABB63249_12</vt:lpwstr>
  </property>
</Properties>
</file>