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Architectural Style Justification</w:t>
      </w:r>
    </w:p>
    <w:p>
      <w:pPr>
        <w:spacing w:after="240"/>
        <w:rPr>
          <w:i/>
          <w:iCs/>
          <w:color w:val="555555"/>
        </w:rPr>
      </w:pPr>
      <w:r>
        <w:t xml:space="preserve">Hospital Bed &amp; ICU Allocation Dashboard — Lab 3</w:t>
      </w:r>
    </w:p>
    <w:p>
      <w:pPr>
        <w:spacing w:after="200"/>
      </w:pPr>
      <w:r>
        <w:rPr>
          <w:sz w:val="22"/>
          <w:szCs w:val="22"/>
        </w:rPr>
        <w:t xml:space="preserve">We chose </w:t>
      </w:r>
      <w:r>
        <w:rPr>
          <w:b/>
          <w:bCs/>
          <w:sz w:val="22"/>
          <w:szCs w:val="22"/>
        </w:rPr>
        <w:t xml:space="preserve">Layered Architecture</w:t>
      </w:r>
      <w:r>
        <w:rPr>
          <w:sz w:val="22"/>
          <w:szCs w:val="22"/>
        </w:rPr>
        <w:t xml:space="preserve"> for the Hospital Bed &amp; ICU Allocation Dashboard system.</w:t>
      </w:r>
    </w:p>
    <w:p>
      <w:pPr>
        <w:pStyle w:val="Heading2"/>
        <w:spacing w:after="80" w:before="120"/>
      </w:pPr>
      <w:r>
        <w:t xml:space="preserve">Reason 1: Clear separation between UI, triage logic, and persistence</w:t>
      </w:r>
    </w:p>
    <w:p>
      <w:pPr>
        <w:spacing w:after="200"/>
      </w:pPr>
      <w:r>
        <w:rPr>
          <w:sz w:val="22"/>
          <w:szCs w:val="22"/>
        </w:rPr>
        <w:t xml:space="preserve">The dashboard has three distinct concerns that change at different rates and are owned by different parts of the workflow: the touchscreen/web presentation used by the Triage Nurse and Hospital Administrator, the triage-scoring and bed-allocation business rules (FR-001, FR-003, FR-005), and the persistent record of patient and bed state (NFR-002). A layered architecture isolates these so the triage-scoring algorithm can be revised without touching the UI, and the UI can be restyled without touching how escalation thresholds are computed. This matches the system's actual requirement structure more directly than a microservices split, which would introduce network calls between tightly coupled clinical logic for no real scaling benefit at the scale of a single ER.</w:t>
      </w:r>
    </w:p>
    <w:p>
      <w:pPr>
        <w:pStyle w:val="Heading2"/>
        <w:spacing w:after="80" w:before="120"/>
      </w:pPr>
      <w:r>
        <w:t xml:space="preserve">Reason 2: A single hospital deployment does not need independent service scaling</w:t>
      </w:r>
    </w:p>
    <w:p>
      <w:pPr>
        <w:spacing w:after="200"/>
      </w:pPr>
      <w:r>
        <w:rPr>
          <w:sz w:val="22"/>
          <w:szCs w:val="22"/>
        </w:rPr>
        <w:t xml:space="preserve">Microservices earn their operational complexity when different parts of a system need to scale independently or be owned by separate teams. An ER bed dashboard for a single facility has a bounded, predictable load (the number of beds and concurrent staff sessions in one hospital), so the fault-isolation and independent-deployment benefits of microservices are not worth their added network latency and data-consistency overhead here — particularly since NFR-001 already requires sub-second propagation of bed-status changes, and every service hop between components adds latency that works against that requirement. A layered monolith keeps that propagation path short.</w:t>
      </w:r>
    </w:p>
    <w:p>
      <w:pPr>
        <w:pStyle w:val="Heading2"/>
        <w:spacing w:after="80" w:before="120"/>
      </w:pPr>
      <w:r>
        <w:t xml:space="preserve">Security Advantage</w:t>
      </w:r>
    </w:p>
    <w:p>
      <w:pPr>
        <w:spacing w:after="200"/>
      </w:pPr>
      <w:r>
        <w:rPr>
          <w:sz w:val="22"/>
          <w:szCs w:val="22"/>
        </w:rPr>
        <w:t xml:space="preserve">Because the Data Layer is only reachable through the Business Layer's components, the Presentation Layer never talks to the Patient &amp; Bed Database directly. This lets the Business Layer enforce NFR-002's role-based access control and audit logging at a single choke point — every read or write to patient and bed data passes through Triage Engine, Bed Management, or Transfer Coordinator, so there is exactly one place to check permissions and log the actor, rather than that logic being duplicated (and potentially missed) across multiple UI entry points.</w:t>
      </w:r>
    </w:p>
    <w:p>
      <w:pPr>
        <w:pStyle w:val="Heading2"/>
        <w:spacing w:after="80" w:before="120"/>
      </w:pPr>
      <w:r>
        <w:t xml:space="preserve">Performance Benefit</w:t>
      </w:r>
    </w:p>
    <w:p>
      <w:pPr>
        <w:spacing w:after="200"/>
      </w:pPr>
      <w:r>
        <w:rPr>
          <w:sz w:val="22"/>
          <w:szCs w:val="22"/>
        </w:rPr>
        <w:t xml:space="preserve">In-process calls between layers avoid the serialization and network round-trip costs that a microservices or distributed client-server split would introduce between, for example, the Triage Engine and Bed Management when a patient's score is computed and the waitlist must be reordered immediately. This directly supports NFR-001's under-one-second WebSocket propagation requirement, since the layered design keeps the path from a triage-score computation to a bed-status broadcast entirely within one deployable application.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2026-09-10T09:29:15.020Z</dcterms:created>
  <dcterms:modified xsi:type="dcterms:W3CDTF">2026-09-10T09:29:15.030Z</dcterms:modified>
</cp:coreProperties>
</file>

<file path=docProps/custom.xml><?xml version="1.0" encoding="utf-8"?>
<Properties xmlns="http://schemas.openxmlformats.org/officeDocument/2006/custom-properties" xmlns:vt="http://schemas.openxmlformats.org/officeDocument/2006/docPropsVTypes"/>
</file>