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2E128" w14:textId="4225A6BD" w:rsidR="00BF47D9" w:rsidRDefault="00ED6397">
      <w:pPr>
        <w:autoSpaceDE w:val="0"/>
        <w:adjustRightInd w:val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№13 </w:t>
      </w:r>
    </w:p>
    <w:p w14:paraId="2994C8C6" w14:textId="77777777" w:rsidR="00BF47D9" w:rsidRDefault="00BF47D9">
      <w:pPr>
        <w:autoSpaceDE w:val="0"/>
        <w:adjustRightInd w:val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BE7168A" w14:textId="77777777" w:rsidR="00BF47D9" w:rsidRDefault="00ED63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Цена единицы продукции — 850 руб. Переменные затраты на единицу продукции — 600 руб. Совокупные затраты — 400 000 руб. Годовой объём производства продукции — 2000 ед. Определить точку безубыточности деятельности компании. Рассмотреть результаты 10% изменения цены, постоянных затрат, переменных затрат и объёма производства. Сделать выводы.</w:t>
      </w:r>
    </w:p>
    <w:p w14:paraId="7B589853" w14:textId="77777777" w:rsidR="00BF47D9" w:rsidRDefault="00BF47D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0D8B372" w14:textId="77777777" w:rsidR="00BF47D9" w:rsidRDefault="00ED63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безубыточности: 1600 ед.</w:t>
      </w:r>
    </w:p>
    <w:p w14:paraId="6468E9AA" w14:textId="77777777" w:rsidR="00BF47D9" w:rsidRDefault="00BF47D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7D90303" w14:textId="77777777" w:rsidR="00BF47D9" w:rsidRDefault="00ED6397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Прибыль: </w:t>
      </w:r>
      <w:r>
        <w:rPr>
          <w:rFonts w:ascii="Times New Roman" w:hAnsi="Times New Roman" w:cs="Times New Roman"/>
          <w:sz w:val="28"/>
          <w:szCs w:val="28"/>
          <w:lang w:val="en-US"/>
        </w:rPr>
        <w:t>100000 руб.</w:t>
      </w:r>
    </w:p>
    <w:p w14:paraId="4B556547" w14:textId="77777777" w:rsidR="00BF47D9" w:rsidRDefault="00BF47D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6"/>
        <w:gridCol w:w="1141"/>
        <w:gridCol w:w="1129"/>
        <w:gridCol w:w="1221"/>
        <w:gridCol w:w="1531"/>
      </w:tblGrid>
      <w:tr w:rsidR="00BF47D9" w14:paraId="447A9AF3" w14:textId="77777777">
        <w:tc>
          <w:tcPr>
            <w:tcW w:w="46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B30CF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Факторы, влияющие на прибыль</w:t>
            </w:r>
          </w:p>
        </w:tc>
        <w:tc>
          <w:tcPr>
            <w:tcW w:w="2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C2AC5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Влияние на</w:t>
            </w:r>
          </w:p>
        </w:tc>
        <w:tc>
          <w:tcPr>
            <w:tcW w:w="12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1C2E6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5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4ECACC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</w:t>
            </w:r>
          </w:p>
          <w:p w14:paraId="41C6B466" w14:textId="77777777" w:rsidR="00BF47D9" w:rsidRDefault="00BF47D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3810C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</w:tr>
      <w:tr w:rsidR="00BF47D9" w14:paraId="0ADD82F4" w14:textId="77777777">
        <w:tc>
          <w:tcPr>
            <w:tcW w:w="4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974434" w14:textId="77777777" w:rsidR="00BF47D9" w:rsidRDefault="00BF47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05641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выручку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99F3DF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</w:p>
        </w:tc>
        <w:tc>
          <w:tcPr>
            <w:tcW w:w="12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2DA061" w14:textId="77777777" w:rsidR="00BF47D9" w:rsidRDefault="00BF47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6E9883" w14:textId="77777777" w:rsidR="00BF47D9" w:rsidRDefault="00BF47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7D9" w14:paraId="670E954B" w14:textId="77777777">
        <w:tc>
          <w:tcPr>
            <w:tcW w:w="4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5884E" w14:textId="77777777" w:rsidR="00BF47D9" w:rsidRDefault="00ED639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цены на 10%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7B107B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+170000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3435BE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FEABEB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270000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60D72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170000</w:t>
            </w:r>
          </w:p>
        </w:tc>
      </w:tr>
      <w:tr w:rsidR="00BF47D9" w14:paraId="37395F84" w14:textId="77777777">
        <w:tc>
          <w:tcPr>
            <w:tcW w:w="4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25801" w14:textId="77777777" w:rsidR="00BF47D9" w:rsidRDefault="00ED639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переменных затрат на 10%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76FE92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110992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-120000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A8FA68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220000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B55DA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</w:tr>
      <w:tr w:rsidR="00BF47D9" w14:paraId="0DF501B1" w14:textId="77777777">
        <w:tc>
          <w:tcPr>
            <w:tcW w:w="4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22432" w14:textId="77777777" w:rsidR="00BF47D9" w:rsidRDefault="00ED639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постоянных затрат на 10%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035273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7F0023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-40000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3509F2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140000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CB4A7A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  <w:tr w:rsidR="00BF47D9" w14:paraId="13C7BAE6" w14:textId="77777777">
        <w:tc>
          <w:tcPr>
            <w:tcW w:w="4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E8ED6" w14:textId="77777777" w:rsidR="00BF47D9" w:rsidRDefault="00ED639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объёма на 10%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CA6FAC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+170000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2B01B5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+120000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ED6FFF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EE4B34" w14:textId="77777777" w:rsidR="00BF47D9" w:rsidRDefault="00ED639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</w:tbl>
    <w:p w14:paraId="7059B516" w14:textId="77777777" w:rsidR="00BF47D9" w:rsidRDefault="00BF47D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C84FB4A" w14:textId="77777777" w:rsidR="00BF47D9" w:rsidRDefault="00ED6397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цены на 10%:</w:t>
      </w:r>
    </w:p>
    <w:p w14:paraId="54A907BE" w14:textId="77777777" w:rsidR="00BF47D9" w:rsidRDefault="00ED6397">
      <w:pPr>
        <w:pStyle w:val="TableContents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B56B4E5" wp14:editId="3866746F">
            <wp:extent cx="6120130" cy="3037840"/>
            <wp:effectExtent l="19050" t="0" r="13966" b="0"/>
            <wp:docPr id="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9AF743" w14:textId="77777777" w:rsidR="00BF47D9" w:rsidRDefault="00ED63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безубыточности: 1195 ед.</w:t>
      </w:r>
    </w:p>
    <w:p w14:paraId="1B0CAD1E" w14:textId="77777777" w:rsidR="00BF47D9" w:rsidRDefault="00BF47D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05A2167" w14:textId="77777777" w:rsidR="00BF47D9" w:rsidRDefault="00ED6397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04D87" w14:textId="77777777" w:rsidR="00BF47D9" w:rsidRDefault="00ED6397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Снижение переменных затрат на 10%:</w:t>
      </w:r>
    </w:p>
    <w:p w14:paraId="686AF71A" w14:textId="77777777" w:rsidR="00BF47D9" w:rsidRDefault="00ED6397">
      <w:pPr>
        <w:pStyle w:val="TableContents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D8D857D" wp14:editId="4946EAF8">
            <wp:extent cx="6120130" cy="3934460"/>
            <wp:effectExtent l="19050" t="0" r="13966" b="8751"/>
            <wp:docPr id="2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969016" w14:textId="77777777" w:rsidR="00BF47D9" w:rsidRDefault="00ED63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безубыточности: 1291 ед.</w:t>
      </w:r>
    </w:p>
    <w:p w14:paraId="2D228E8F" w14:textId="77777777" w:rsidR="00BF47D9" w:rsidRDefault="00BF47D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1C3D360" w14:textId="77777777" w:rsidR="00BF47D9" w:rsidRDefault="00ED6397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постоянных затрат на 10%:</w:t>
      </w:r>
    </w:p>
    <w:p w14:paraId="7090D207" w14:textId="77777777" w:rsidR="00BF47D9" w:rsidRDefault="00ED6397">
      <w:pPr>
        <w:pStyle w:val="TableContents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0B10EC6" wp14:editId="6390A43C">
            <wp:extent cx="6121400" cy="4364990"/>
            <wp:effectExtent l="19050" t="0" r="12176" b="0"/>
            <wp:docPr id="3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D653AB" w14:textId="77777777" w:rsidR="00BF47D9" w:rsidRDefault="00BF47D9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</w:p>
    <w:p w14:paraId="7F54D482" w14:textId="77777777" w:rsidR="00BF47D9" w:rsidRDefault="00ED63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безубыточности: 1440 ед.</w:t>
      </w:r>
    </w:p>
    <w:p w14:paraId="74697623" w14:textId="77777777" w:rsidR="00BF47D9" w:rsidRDefault="00BF47D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CE600BF" w14:textId="77777777" w:rsidR="00BF47D9" w:rsidRDefault="00ED6397">
      <w:pPr>
        <w:pStyle w:val="TableContents"/>
        <w:jc w:val="both"/>
      </w:pPr>
      <w:r>
        <w:rPr>
          <w:rFonts w:ascii="Times New Roman" w:hAnsi="Times New Roman" w:cs="Times New Roman"/>
          <w:sz w:val="28"/>
          <w:szCs w:val="28"/>
        </w:rPr>
        <w:t>Увеличение объёма на 10%:</w:t>
      </w:r>
    </w:p>
    <w:p w14:paraId="6EB765BE" w14:textId="77777777" w:rsidR="00BF47D9" w:rsidRDefault="00ED6397">
      <w:pPr>
        <w:pStyle w:val="TableContents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EF977A0" wp14:editId="036F0933">
            <wp:extent cx="6120130" cy="3777615"/>
            <wp:effectExtent l="19050" t="0" r="13966" b="0"/>
            <wp:docPr id="4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C7195F" w14:textId="77777777" w:rsidR="00BF47D9" w:rsidRDefault="00BF47D9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</w:p>
    <w:p w14:paraId="4D2501FD" w14:textId="77777777" w:rsidR="00BF47D9" w:rsidRDefault="00ED63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безубыточности: 1600 ед.</w:t>
      </w:r>
    </w:p>
    <w:p w14:paraId="1FCA34C2" w14:textId="77777777" w:rsidR="00BF47D9" w:rsidRDefault="00BF47D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sectPr w:rsidR="00BF47D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default"/>
  </w:font>
  <w:font w:name="Noto Serif CJK SC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Segoe Print"/>
    <w:charset w:val="00"/>
    <w:family w:val="swiss"/>
    <w:pitch w:val="default"/>
  </w:font>
  <w:font w:name="Noto Sans CJK SC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5A"/>
    <w:rsid w:val="0028352F"/>
    <w:rsid w:val="00491F5A"/>
    <w:rsid w:val="005C0F8D"/>
    <w:rsid w:val="007D2569"/>
    <w:rsid w:val="00927B5A"/>
    <w:rsid w:val="00BF47D9"/>
    <w:rsid w:val="00C22DD2"/>
    <w:rsid w:val="00C9623D"/>
    <w:rsid w:val="00CC3514"/>
    <w:rsid w:val="00ED6397"/>
    <w:rsid w:val="00F73011"/>
    <w:rsid w:val="313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48BA"/>
  <w15:docId w15:val="{953002F4-ED08-4BB3-9E8C-D68902DA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rFonts w:ascii="Tahoma" w:hAnsi="Tahoma" w:cs="Mangal"/>
      <w:sz w:val="16"/>
      <w:szCs w:val="14"/>
    </w:rPr>
  </w:style>
  <w:style w:type="paragraph" w:styleId="a4">
    <w:name w:val="List"/>
    <w:basedOn w:val="Textbody"/>
    <w:qFormat/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1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5">
    <w:name w:val="Текст выноски Знак"/>
    <w:basedOn w:val="a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Прибыль</c:f>
              <c:strCache>
                <c:ptCount val="1"/>
                <c:pt idx="0">
                  <c:v>Прибыль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{0,212500,425000,637500,850000,1062500,1275000,1487500,1700000}</c:f>
              <c:numCache>
                <c:formatCode>General</c:formatCode>
                <c:ptCount val="9"/>
                <c:pt idx="0">
                  <c:v>0</c:v>
                </c:pt>
                <c:pt idx="1">
                  <c:v>212500</c:v>
                </c:pt>
                <c:pt idx="2">
                  <c:v>425000</c:v>
                </c:pt>
                <c:pt idx="3">
                  <c:v>637500</c:v>
                </c:pt>
                <c:pt idx="4">
                  <c:v>850000</c:v>
                </c:pt>
                <c:pt idx="5">
                  <c:v>1062500</c:v>
                </c:pt>
                <c:pt idx="6">
                  <c:v>1275000</c:v>
                </c:pt>
                <c:pt idx="7">
                  <c:v>1487500</c:v>
                </c:pt>
                <c:pt idx="8">
                  <c:v>1700000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72-4F9A-ABA2-1CD1FAD12DAD}"/>
            </c:ext>
          </c:extLst>
        </c:ser>
        <c:ser>
          <c:idx val="1"/>
          <c:order val="1"/>
          <c:tx>
            <c:strRef>
              <c:f>Прибыль(+10%)</c:f>
              <c:strCache>
                <c:ptCount val="1"/>
                <c:pt idx="0">
                  <c:v>Прибыль(+10%)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{0,233750,467500,701250,935000,1168750,1402500,1636250,1870000}</c:f>
              <c:numCache>
                <c:formatCode>General</c:formatCode>
                <c:ptCount val="9"/>
                <c:pt idx="0">
                  <c:v>0</c:v>
                </c:pt>
                <c:pt idx="1">
                  <c:v>233750</c:v>
                </c:pt>
                <c:pt idx="2">
                  <c:v>467500</c:v>
                </c:pt>
                <c:pt idx="3">
                  <c:v>701250</c:v>
                </c:pt>
                <c:pt idx="4">
                  <c:v>935000</c:v>
                </c:pt>
                <c:pt idx="5">
                  <c:v>1168750</c:v>
                </c:pt>
                <c:pt idx="6">
                  <c:v>1402500</c:v>
                </c:pt>
                <c:pt idx="7">
                  <c:v>1636250</c:v>
                </c:pt>
                <c:pt idx="8">
                  <c:v>1870000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72-4F9A-ABA2-1CD1FAD12DAD}"/>
            </c:ext>
          </c:extLst>
        </c:ser>
        <c:ser>
          <c:idx val="2"/>
          <c:order val="2"/>
          <c:tx>
            <c:strRef>
              <c:f>Совокупные переменные затраты</c:f>
              <c:strCache>
                <c:ptCount val="1"/>
                <c:pt idx="0">
                  <c:v>Совокупные переменные затраты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dash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{0,150000,300000,450000,600000,750000,900000,1050000,1200000}</c:f>
              <c:numCache>
                <c:formatCode>General</c:formatCode>
                <c:ptCount val="9"/>
                <c:pt idx="0">
                  <c:v>0</c:v>
                </c:pt>
                <c:pt idx="1">
                  <c:v>150000</c:v>
                </c:pt>
                <c:pt idx="2">
                  <c:v>300000</c:v>
                </c:pt>
                <c:pt idx="3">
                  <c:v>450000</c:v>
                </c:pt>
                <c:pt idx="4">
                  <c:v>600000</c:v>
                </c:pt>
                <c:pt idx="5">
                  <c:v>750000</c:v>
                </c:pt>
                <c:pt idx="6">
                  <c:v>900000</c:v>
                </c:pt>
                <c:pt idx="7">
                  <c:v>1050000</c:v>
                </c:pt>
                <c:pt idx="8">
                  <c:v>1200000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72-4F9A-ABA2-1CD1FAD12DAD}"/>
            </c:ext>
          </c:extLst>
        </c:ser>
        <c:ser>
          <c:idx val="3"/>
          <c:order val="3"/>
          <c:tx>
            <c:strRef>
              <c:f>Совокупные постоянные затраты, руб</c:f>
              <c:strCache>
                <c:ptCount val="1"/>
                <c:pt idx="0">
                  <c:v>Совокупные постоянные затраты, руб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{400000,400000,400000,400000,400000,400000,400000,400000,400000}</c:f>
              <c:numCache>
                <c:formatCode>General</c:formatCode>
                <c:ptCount val="9"/>
                <c:pt idx="0">
                  <c:v>400000</c:v>
                </c:pt>
                <c:pt idx="1">
                  <c:v>400000</c:v>
                </c:pt>
                <c:pt idx="2">
                  <c:v>400000</c:v>
                </c:pt>
                <c:pt idx="3">
                  <c:v>400000</c:v>
                </c:pt>
                <c:pt idx="4">
                  <c:v>400000</c:v>
                </c:pt>
                <c:pt idx="5">
                  <c:v>400000</c:v>
                </c:pt>
                <c:pt idx="6">
                  <c:v>400000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72-4F9A-ABA2-1CD1FAD12DAD}"/>
            </c:ext>
          </c:extLst>
        </c:ser>
        <c:ser>
          <c:idx val="4"/>
          <c:order val="4"/>
          <c:tx>
            <c:strRef>
              <c:f>Общие издержки</c:f>
              <c:strCache>
                <c:ptCount val="1"/>
                <c:pt idx="0">
                  <c:v>Общие издержки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{400000,550000,700000,850000,1000000,1150000,1300000,1450000,1600000}</c:f>
              <c:numCache>
                <c:formatCode>General</c:formatCode>
                <c:ptCount val="9"/>
                <c:pt idx="0">
                  <c:v>400000</c:v>
                </c:pt>
                <c:pt idx="1">
                  <c:v>550000</c:v>
                </c:pt>
                <c:pt idx="2">
                  <c:v>700000</c:v>
                </c:pt>
                <c:pt idx="3">
                  <c:v>850000</c:v>
                </c:pt>
                <c:pt idx="4">
                  <c:v>1000000</c:v>
                </c:pt>
                <c:pt idx="5">
                  <c:v>1150000</c:v>
                </c:pt>
                <c:pt idx="6">
                  <c:v>1300000</c:v>
                </c:pt>
                <c:pt idx="7">
                  <c:v>1450000</c:v>
                </c:pt>
                <c:pt idx="8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72-4F9A-ABA2-1CD1FAD12D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285312"/>
        <c:axId val="184541184"/>
      </c:lineChart>
      <c:catAx>
        <c:axId val="188285312"/>
        <c:scaling>
          <c:orientation val="minMax"/>
        </c:scaling>
        <c:delete val="0"/>
        <c:axPos val="b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Годовой Обьём, шт.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184541184"/>
        <c:crosses val="autoZero"/>
        <c:auto val="1"/>
        <c:lblAlgn val="ctr"/>
        <c:lblOffset val="100"/>
        <c:noMultiLvlLbl val="0"/>
      </c:catAx>
      <c:valAx>
        <c:axId val="184541184"/>
        <c:scaling>
          <c:orientation val="minMax"/>
        </c:scaling>
        <c:delete val="0"/>
        <c:axPos val="l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Прибыль,</a:t>
                </a:r>
                <a:b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</a:b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руб.</a:t>
                </a:r>
              </a:p>
            </c:rich>
          </c:tx>
          <c:layout>
            <c:manualLayout>
              <c:xMode val="edge"/>
              <c:yMode val="edge"/>
              <c:x val="1.27895913373125E-2"/>
              <c:y val="9.8885058133315797E-3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188285312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rot="0" spcFirstLastPara="0" vertOverflow="ellipsis" vert="horz" wrap="square" lIns="0" tIns="0" rIns="0" bIns="0" anchor="ctr" anchorCtr="1"/>
        <a:lstStyle/>
        <a:p>
          <a:pPr>
            <a:defRPr lang="ru-RU" sz="1000" b="0" i="0" u="none" strike="noStrike" kern="1200" baseline="0">
              <a:solidFill>
                <a:srgbClr val="000000"/>
              </a:solidFill>
              <a:latin typeface="Calibri" panose="020F0502020204030204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9528" cap="flat" cmpd="sng" algn="ctr">
      <a:solidFill>
        <a:srgbClr val="868686"/>
      </a:solidFill>
      <a:prstDash val="solid"/>
      <a:round/>
    </a:ln>
  </c:spPr>
  <c:txPr>
    <a:bodyPr lIns="0" tIns="0" rIns="0" bIns="0"/>
    <a:lstStyle/>
    <a:p>
      <a:pPr algn="ctr">
        <a:defRPr lang="ru-RU" sz="1000" b="0" i="0" u="none" strike="noStrike" kern="1200" baseline="0">
          <a:solidFill>
            <a:srgbClr val="000000"/>
          </a:solidFill>
          <a:latin typeface="Calibri" panose="020F0502020204030204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Прибыль</c:f>
              <c:strCache>
                <c:ptCount val="1"/>
                <c:pt idx="0">
                  <c:v>Прибыль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{0,212500,425000,637500,850000,1062500,1275000,1487500,1700000}</c:f>
              <c:numCache>
                <c:formatCode>General</c:formatCode>
                <c:ptCount val="9"/>
                <c:pt idx="0">
                  <c:v>0</c:v>
                </c:pt>
                <c:pt idx="1">
                  <c:v>212500</c:v>
                </c:pt>
                <c:pt idx="2">
                  <c:v>425000</c:v>
                </c:pt>
                <c:pt idx="3">
                  <c:v>637500</c:v>
                </c:pt>
                <c:pt idx="4">
                  <c:v>850000</c:v>
                </c:pt>
                <c:pt idx="5">
                  <c:v>1062500</c:v>
                </c:pt>
                <c:pt idx="6">
                  <c:v>1275000</c:v>
                </c:pt>
                <c:pt idx="7">
                  <c:v>1487500</c:v>
                </c:pt>
                <c:pt idx="8">
                  <c:v>1700000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1D-46CC-B234-3E7879404EF5}"/>
            </c:ext>
          </c:extLst>
        </c:ser>
        <c:ser>
          <c:idx val="1"/>
          <c:order val="1"/>
          <c:tx>
            <c:strRef>
              <c:f>Совокупные переменные затраты</c:f>
              <c:strCache>
                <c:ptCount val="1"/>
                <c:pt idx="0">
                  <c:v>Совокупные переменные затраты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dash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{0,150000,300000,450000,600000,750000,900000,1050000,1200000}</c:f>
              <c:numCache>
                <c:formatCode>General</c:formatCode>
                <c:ptCount val="9"/>
                <c:pt idx="0">
                  <c:v>0</c:v>
                </c:pt>
                <c:pt idx="1">
                  <c:v>150000</c:v>
                </c:pt>
                <c:pt idx="2">
                  <c:v>300000</c:v>
                </c:pt>
                <c:pt idx="3">
                  <c:v>450000</c:v>
                </c:pt>
                <c:pt idx="4">
                  <c:v>600000</c:v>
                </c:pt>
                <c:pt idx="5">
                  <c:v>750000</c:v>
                </c:pt>
                <c:pt idx="6">
                  <c:v>900000</c:v>
                </c:pt>
                <c:pt idx="7">
                  <c:v>1050000</c:v>
                </c:pt>
                <c:pt idx="8">
                  <c:v>1200000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1D-46CC-B234-3E7879404EF5}"/>
            </c:ext>
          </c:extLst>
        </c:ser>
        <c:ser>
          <c:idx val="2"/>
          <c:order val="2"/>
          <c:tx>
            <c:strRef>
              <c:f>Совокупные постоянные затраты, руб</c:f>
              <c:strCache>
                <c:ptCount val="1"/>
                <c:pt idx="0">
                  <c:v>Совокупные постоянные затраты, руб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{400000,400000,400000,400000,400000,400000,400000,400000,400000}</c:f>
              <c:numCache>
                <c:formatCode>General</c:formatCode>
                <c:ptCount val="9"/>
                <c:pt idx="0">
                  <c:v>400000</c:v>
                </c:pt>
                <c:pt idx="1">
                  <c:v>400000</c:v>
                </c:pt>
                <c:pt idx="2">
                  <c:v>400000</c:v>
                </c:pt>
                <c:pt idx="3">
                  <c:v>400000</c:v>
                </c:pt>
                <c:pt idx="4">
                  <c:v>400000</c:v>
                </c:pt>
                <c:pt idx="5">
                  <c:v>400000</c:v>
                </c:pt>
                <c:pt idx="6">
                  <c:v>400000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1D-46CC-B234-3E7879404EF5}"/>
            </c:ext>
          </c:extLst>
        </c:ser>
        <c:ser>
          <c:idx val="3"/>
          <c:order val="3"/>
          <c:tx>
            <c:strRef>
              <c:f>Общие издержки</c:f>
              <c:strCache>
                <c:ptCount val="1"/>
                <c:pt idx="0">
                  <c:v>Общие издержки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{400000,550000,700000,850000,1000000,1150000,1300000,1450000,1600000}</c:f>
              <c:numCache>
                <c:formatCode>General</c:formatCode>
                <c:ptCount val="9"/>
                <c:pt idx="0">
                  <c:v>400000</c:v>
                </c:pt>
                <c:pt idx="1">
                  <c:v>550000</c:v>
                </c:pt>
                <c:pt idx="2">
                  <c:v>700000</c:v>
                </c:pt>
                <c:pt idx="3">
                  <c:v>850000</c:v>
                </c:pt>
                <c:pt idx="4">
                  <c:v>1000000</c:v>
                </c:pt>
                <c:pt idx="5">
                  <c:v>1150000</c:v>
                </c:pt>
                <c:pt idx="6">
                  <c:v>1300000</c:v>
                </c:pt>
                <c:pt idx="7">
                  <c:v>1450000</c:v>
                </c:pt>
                <c:pt idx="8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1D-46CC-B234-3E7879404EF5}"/>
            </c:ext>
          </c:extLst>
        </c:ser>
        <c:ser>
          <c:idx val="4"/>
          <c:order val="4"/>
          <c:tx>
            <c:strRef>
              <c:f>Совокупные переменные затраты (-10%)</c:f>
              <c:strCache>
                <c:ptCount val="1"/>
                <c:pt idx="0">
                  <c:v>Совокупные переменные затраты (-10%)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prstDash val="dash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{0,135000,270000,405000,540000,675000,810000,945000,1080000}</c:f>
              <c:numCache>
                <c:formatCode>General</c:formatCode>
                <c:ptCount val="9"/>
                <c:pt idx="0">
                  <c:v>0</c:v>
                </c:pt>
                <c:pt idx="1">
                  <c:v>135000</c:v>
                </c:pt>
                <c:pt idx="2">
                  <c:v>270000</c:v>
                </c:pt>
                <c:pt idx="3">
                  <c:v>405000</c:v>
                </c:pt>
                <c:pt idx="4">
                  <c:v>540000</c:v>
                </c:pt>
                <c:pt idx="5">
                  <c:v>675000</c:v>
                </c:pt>
                <c:pt idx="6">
                  <c:v>810000</c:v>
                </c:pt>
                <c:pt idx="7">
                  <c:v>945000</c:v>
                </c:pt>
                <c:pt idx="8">
                  <c:v>1080000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1D-46CC-B234-3E7879404EF5}"/>
            </c:ext>
          </c:extLst>
        </c:ser>
        <c:ser>
          <c:idx val="5"/>
          <c:order val="5"/>
          <c:tx>
            <c:strRef>
              <c:f>Общие издержки*</c:f>
              <c:strCache>
                <c:ptCount val="1"/>
                <c:pt idx="0">
                  <c:v>Общие издержки*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{400000,535000,670000,805000,940000,1075000,1210000,1345000,1480000}</c:f>
              <c:numCache>
                <c:formatCode>General</c:formatCode>
                <c:ptCount val="9"/>
                <c:pt idx="0">
                  <c:v>400000</c:v>
                </c:pt>
                <c:pt idx="1">
                  <c:v>535000</c:v>
                </c:pt>
                <c:pt idx="2">
                  <c:v>670000</c:v>
                </c:pt>
                <c:pt idx="3">
                  <c:v>805000</c:v>
                </c:pt>
                <c:pt idx="4">
                  <c:v>940000</c:v>
                </c:pt>
                <c:pt idx="5">
                  <c:v>1075000</c:v>
                </c:pt>
                <c:pt idx="6">
                  <c:v>1210000</c:v>
                </c:pt>
                <c:pt idx="7">
                  <c:v>1345000</c:v>
                </c:pt>
                <c:pt idx="8">
                  <c:v>1480000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F1D-46CC-B234-3E7879404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1261312"/>
        <c:axId val="231228544"/>
      </c:lineChart>
      <c:catAx>
        <c:axId val="231261312"/>
        <c:scaling>
          <c:orientation val="minMax"/>
        </c:scaling>
        <c:delete val="0"/>
        <c:axPos val="b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Годовой объём, ед.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231228544"/>
        <c:crosses val="autoZero"/>
        <c:auto val="1"/>
        <c:lblAlgn val="ctr"/>
        <c:lblOffset val="100"/>
        <c:noMultiLvlLbl val="0"/>
      </c:catAx>
      <c:valAx>
        <c:axId val="231228544"/>
        <c:scaling>
          <c:orientation val="minMax"/>
        </c:scaling>
        <c:delete val="0"/>
        <c:axPos val="l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Прибыль,</a:t>
                </a:r>
                <a:b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</a:b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руб.</a:t>
                </a:r>
              </a:p>
            </c:rich>
          </c:tx>
          <c:layout>
            <c:manualLayout>
              <c:xMode val="edge"/>
              <c:yMode val="edge"/>
              <c:x val="1.61725243552714E-2"/>
              <c:y val="7.5336775107196496E-3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231261312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rot="0" spcFirstLastPara="0" vertOverflow="ellipsis" vert="horz" wrap="square" lIns="0" tIns="0" rIns="0" bIns="0" anchor="ctr" anchorCtr="1"/>
        <a:lstStyle/>
        <a:p>
          <a:pPr>
            <a:defRPr lang="ru-RU" sz="1000" b="0" i="0" u="none" strike="noStrike" kern="1200" baseline="0">
              <a:solidFill>
                <a:srgbClr val="000000"/>
              </a:solidFill>
              <a:latin typeface="Calibri" panose="020F0502020204030204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9528" cap="flat" cmpd="sng" algn="ctr">
      <a:solidFill>
        <a:srgbClr val="868686"/>
      </a:solidFill>
      <a:prstDash val="solid"/>
      <a:round/>
    </a:ln>
  </c:spPr>
  <c:txPr>
    <a:bodyPr lIns="0" tIns="0" rIns="0" bIns="0"/>
    <a:lstStyle/>
    <a:p>
      <a:pPr algn="ctr">
        <a:defRPr lang="ru-RU" sz="1000" b="0" i="0" u="none" strike="noStrike" kern="1200" baseline="0">
          <a:solidFill>
            <a:srgbClr val="000000"/>
          </a:solidFill>
          <a:latin typeface="Calibri" panose="020F0502020204030204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Прибыль</c:f>
              <c:strCache>
                <c:ptCount val="1"/>
                <c:pt idx="0">
                  <c:v>Прибыль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{0,212500,425000,637500,850000,1062500,1275000,1487500,1700000}</c:f>
              <c:numCache>
                <c:formatCode>General</c:formatCode>
                <c:ptCount val="9"/>
                <c:pt idx="0">
                  <c:v>0</c:v>
                </c:pt>
                <c:pt idx="1">
                  <c:v>212500</c:v>
                </c:pt>
                <c:pt idx="2">
                  <c:v>425000</c:v>
                </c:pt>
                <c:pt idx="3">
                  <c:v>637500</c:v>
                </c:pt>
                <c:pt idx="4">
                  <c:v>850000</c:v>
                </c:pt>
                <c:pt idx="5">
                  <c:v>1062500</c:v>
                </c:pt>
                <c:pt idx="6">
                  <c:v>1275000</c:v>
                </c:pt>
                <c:pt idx="7">
                  <c:v>1487500</c:v>
                </c:pt>
                <c:pt idx="8">
                  <c:v>1700000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EB-4670-A254-C00FD4FF5E6B}"/>
            </c:ext>
          </c:extLst>
        </c:ser>
        <c:ser>
          <c:idx val="1"/>
          <c:order val="1"/>
          <c:tx>
            <c:strRef>
              <c:f>Совокупные переменные затраты</c:f>
              <c:strCache>
                <c:ptCount val="1"/>
                <c:pt idx="0">
                  <c:v>Совокупные переменные затраты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dash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{0,150000,300000,450000,600000,750000,900000,1050000,1200000}</c:f>
              <c:numCache>
                <c:formatCode>General</c:formatCode>
                <c:ptCount val="9"/>
                <c:pt idx="0">
                  <c:v>0</c:v>
                </c:pt>
                <c:pt idx="1">
                  <c:v>150000</c:v>
                </c:pt>
                <c:pt idx="2">
                  <c:v>300000</c:v>
                </c:pt>
                <c:pt idx="3">
                  <c:v>450000</c:v>
                </c:pt>
                <c:pt idx="4">
                  <c:v>600000</c:v>
                </c:pt>
                <c:pt idx="5">
                  <c:v>750000</c:v>
                </c:pt>
                <c:pt idx="6">
                  <c:v>900000</c:v>
                </c:pt>
                <c:pt idx="7">
                  <c:v>1050000</c:v>
                </c:pt>
                <c:pt idx="8">
                  <c:v>1200000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EB-4670-A254-C00FD4FF5E6B}"/>
            </c:ext>
          </c:extLst>
        </c:ser>
        <c:ser>
          <c:idx val="2"/>
          <c:order val="2"/>
          <c:tx>
            <c:strRef>
              <c:f>Совокупные постоянные затраты, руб</c:f>
              <c:strCache>
                <c:ptCount val="1"/>
                <c:pt idx="0">
                  <c:v>Совокупные постоянные затраты, руб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{400000,400000,400000,400000,400000,400000,400000,400000,400000}</c:f>
              <c:numCache>
                <c:formatCode>General</c:formatCode>
                <c:ptCount val="9"/>
                <c:pt idx="0">
                  <c:v>400000</c:v>
                </c:pt>
                <c:pt idx="1">
                  <c:v>400000</c:v>
                </c:pt>
                <c:pt idx="2">
                  <c:v>400000</c:v>
                </c:pt>
                <c:pt idx="3">
                  <c:v>400000</c:v>
                </c:pt>
                <c:pt idx="4">
                  <c:v>400000</c:v>
                </c:pt>
                <c:pt idx="5">
                  <c:v>400000</c:v>
                </c:pt>
                <c:pt idx="6">
                  <c:v>400000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EB-4670-A254-C00FD4FF5E6B}"/>
            </c:ext>
          </c:extLst>
        </c:ser>
        <c:ser>
          <c:idx val="3"/>
          <c:order val="3"/>
          <c:tx>
            <c:strRef>
              <c:f>Общие издержки</c:f>
              <c:strCache>
                <c:ptCount val="1"/>
                <c:pt idx="0">
                  <c:v>Общие издержки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{400000,550000,700000,850000,1000000,1150000,1300000,1450000,1600000}</c:f>
              <c:numCache>
                <c:formatCode>General</c:formatCode>
                <c:ptCount val="9"/>
                <c:pt idx="0">
                  <c:v>400000</c:v>
                </c:pt>
                <c:pt idx="1">
                  <c:v>550000</c:v>
                </c:pt>
                <c:pt idx="2">
                  <c:v>700000</c:v>
                </c:pt>
                <c:pt idx="3">
                  <c:v>850000</c:v>
                </c:pt>
                <c:pt idx="4">
                  <c:v>1000000</c:v>
                </c:pt>
                <c:pt idx="5">
                  <c:v>1150000</c:v>
                </c:pt>
                <c:pt idx="6">
                  <c:v>1300000</c:v>
                </c:pt>
                <c:pt idx="7">
                  <c:v>1450000</c:v>
                </c:pt>
                <c:pt idx="8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EB-4670-A254-C00FD4FF5E6B}"/>
            </c:ext>
          </c:extLst>
        </c:ser>
        <c:ser>
          <c:idx val="4"/>
          <c:order val="4"/>
          <c:tx>
            <c:strRef>
              <c:f>Совокупные постоянные затраты, руб (-10%)</c:f>
              <c:strCache>
                <c:ptCount val="1"/>
                <c:pt idx="0">
                  <c:v>Совокупные постоянные затраты, руб (-10%)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{360000,360000,360000,360000,360000,360000,360000,360000,360000}</c:f>
              <c:numCache>
                <c:formatCode>General</c:formatCode>
                <c:ptCount val="9"/>
                <c:pt idx="0">
                  <c:v>360000</c:v>
                </c:pt>
                <c:pt idx="1">
                  <c:v>360000</c:v>
                </c:pt>
                <c:pt idx="2">
                  <c:v>360000</c:v>
                </c:pt>
                <c:pt idx="3">
                  <c:v>360000</c:v>
                </c:pt>
                <c:pt idx="4">
                  <c:v>360000</c:v>
                </c:pt>
                <c:pt idx="5">
                  <c:v>360000</c:v>
                </c:pt>
                <c:pt idx="6">
                  <c:v>360000</c:v>
                </c:pt>
                <c:pt idx="7">
                  <c:v>360000</c:v>
                </c:pt>
                <c:pt idx="8">
                  <c:v>360000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EEB-4670-A254-C00FD4FF5E6B}"/>
            </c:ext>
          </c:extLst>
        </c:ser>
        <c:ser>
          <c:idx val="5"/>
          <c:order val="5"/>
          <c:tx>
            <c:strRef>
              <c:f>Общие издержки*</c:f>
              <c:strCache>
                <c:ptCount val="1"/>
                <c:pt idx="0">
                  <c:v>Общие издержки*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{360000,510000,660000,810000,960000,1110000,1260000,1410000,1560000}</c:f>
              <c:numCache>
                <c:formatCode>General</c:formatCode>
                <c:ptCount val="9"/>
                <c:pt idx="0">
                  <c:v>360000</c:v>
                </c:pt>
                <c:pt idx="1">
                  <c:v>510000</c:v>
                </c:pt>
                <c:pt idx="2">
                  <c:v>660000</c:v>
                </c:pt>
                <c:pt idx="3">
                  <c:v>810000</c:v>
                </c:pt>
                <c:pt idx="4">
                  <c:v>960000</c:v>
                </c:pt>
                <c:pt idx="5">
                  <c:v>1110000</c:v>
                </c:pt>
                <c:pt idx="6">
                  <c:v>1260000</c:v>
                </c:pt>
                <c:pt idx="7">
                  <c:v>1410000</c:v>
                </c:pt>
                <c:pt idx="8">
                  <c:v>1560000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EEB-4670-A254-C00FD4FF5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015616"/>
        <c:axId val="265960448"/>
      </c:lineChart>
      <c:catAx>
        <c:axId val="300015616"/>
        <c:scaling>
          <c:orientation val="minMax"/>
        </c:scaling>
        <c:delete val="0"/>
        <c:axPos val="b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Годовой объём, ед.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265960448"/>
        <c:crosses val="autoZero"/>
        <c:auto val="1"/>
        <c:lblAlgn val="ctr"/>
        <c:lblOffset val="100"/>
        <c:noMultiLvlLbl val="0"/>
      </c:catAx>
      <c:valAx>
        <c:axId val="265960448"/>
        <c:scaling>
          <c:orientation val="minMax"/>
        </c:scaling>
        <c:delete val="0"/>
        <c:axPos val="l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Прибыль,</a:t>
                </a:r>
                <a:b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</a:b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руб.</a:t>
                </a:r>
              </a:p>
            </c:rich>
          </c:tx>
          <c:layout>
            <c:manualLayout>
              <c:xMode val="edge"/>
              <c:yMode val="edge"/>
              <c:x val="9.3457119314237207E-3"/>
              <c:y val="3.8403304180104798E-3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300015616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rot="0" spcFirstLastPara="0" vertOverflow="ellipsis" vert="horz" wrap="square" lIns="0" tIns="0" rIns="0" bIns="0" anchor="ctr" anchorCtr="1"/>
        <a:lstStyle/>
        <a:p>
          <a:pPr>
            <a:defRPr lang="ru-RU" sz="1000" b="0" i="0" u="none" strike="noStrike" kern="1200" baseline="0">
              <a:solidFill>
                <a:srgbClr val="000000"/>
              </a:solidFill>
              <a:latin typeface="Calibri" panose="020F0502020204030204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9528" cap="flat" cmpd="sng" algn="ctr">
      <a:solidFill>
        <a:srgbClr val="868686"/>
      </a:solidFill>
      <a:prstDash val="solid"/>
      <a:round/>
    </a:ln>
  </c:spPr>
  <c:txPr>
    <a:bodyPr lIns="0" tIns="0" rIns="0" bIns="0"/>
    <a:lstStyle/>
    <a:p>
      <a:pPr algn="ctr">
        <a:defRPr lang="ru-RU" sz="1000" b="0" i="0" u="none" strike="noStrike" kern="1200" baseline="0">
          <a:solidFill>
            <a:srgbClr val="000000"/>
          </a:solidFill>
          <a:latin typeface="Calibri" panose="020F0502020204030204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Прибыль</c:f>
              <c:strCache>
                <c:ptCount val="1"/>
                <c:pt idx="0">
                  <c:v>Прибыль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{0,275,550,825,1100,1375,1650,1925,2200}</c:f>
              <c:numCache>
                <c:formatCode>General</c:formatCode>
                <c:ptCount val="9"/>
                <c:pt idx="0">
                  <c:v>0</c:v>
                </c:pt>
                <c:pt idx="1">
                  <c:v>275</c:v>
                </c:pt>
                <c:pt idx="2">
                  <c:v>550</c:v>
                </c:pt>
                <c:pt idx="3">
                  <c:v>825</c:v>
                </c:pt>
                <c:pt idx="4">
                  <c:v>1100</c:v>
                </c:pt>
                <c:pt idx="5">
                  <c:v>1375</c:v>
                </c:pt>
                <c:pt idx="6">
                  <c:v>1650</c:v>
                </c:pt>
                <c:pt idx="7">
                  <c:v>1925</c:v>
                </c:pt>
                <c:pt idx="8">
                  <c:v>2200</c:v>
                </c:pt>
              </c:numCache>
            </c:numRef>
          </c:cat>
          <c:val>
            <c:numRef>
              <c:f>{0,233750,467500,701250,935000,1168750,1402500,1636250,1870000}</c:f>
              <c:numCache>
                <c:formatCode>General</c:formatCode>
                <c:ptCount val="9"/>
                <c:pt idx="0">
                  <c:v>0</c:v>
                </c:pt>
                <c:pt idx="1">
                  <c:v>233750</c:v>
                </c:pt>
                <c:pt idx="2">
                  <c:v>467500</c:v>
                </c:pt>
                <c:pt idx="3">
                  <c:v>701250</c:v>
                </c:pt>
                <c:pt idx="4">
                  <c:v>935000</c:v>
                </c:pt>
                <c:pt idx="5">
                  <c:v>1168750</c:v>
                </c:pt>
                <c:pt idx="6">
                  <c:v>1402500</c:v>
                </c:pt>
                <c:pt idx="7">
                  <c:v>1636250</c:v>
                </c:pt>
                <c:pt idx="8">
                  <c:v>1870000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2B-452F-9CA2-B28B65413F0C}"/>
            </c:ext>
          </c:extLst>
        </c:ser>
        <c:ser>
          <c:idx val="1"/>
          <c:order val="1"/>
          <c:tx>
            <c:strRef>
              <c:f>Совокупные переменные затраты</c:f>
              <c:strCache>
                <c:ptCount val="1"/>
                <c:pt idx="0">
                  <c:v>Совокупные переменные затраты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dash"/>
              <a:round/>
            </a:ln>
          </c:spPr>
          <c:marker>
            <c:symbol val="none"/>
          </c:marker>
          <c:cat>
            <c:numRef>
              <c:f>{0,275,550,825,1100,1375,1650,1925,2200}</c:f>
              <c:numCache>
                <c:formatCode>General</c:formatCode>
                <c:ptCount val="9"/>
                <c:pt idx="0">
                  <c:v>0</c:v>
                </c:pt>
                <c:pt idx="1">
                  <c:v>275</c:v>
                </c:pt>
                <c:pt idx="2">
                  <c:v>550</c:v>
                </c:pt>
                <c:pt idx="3">
                  <c:v>825</c:v>
                </c:pt>
                <c:pt idx="4">
                  <c:v>1100</c:v>
                </c:pt>
                <c:pt idx="5">
                  <c:v>1375</c:v>
                </c:pt>
                <c:pt idx="6">
                  <c:v>1650</c:v>
                </c:pt>
                <c:pt idx="7">
                  <c:v>1925</c:v>
                </c:pt>
                <c:pt idx="8">
                  <c:v>2200</c:v>
                </c:pt>
              </c:numCache>
            </c:numRef>
          </c:cat>
          <c:val>
            <c:numRef>
              <c:f>{0,165000,330000,495000,660000,825000,990000,1155000,1320000}</c:f>
              <c:numCache>
                <c:formatCode>General</c:formatCode>
                <c:ptCount val="9"/>
                <c:pt idx="0">
                  <c:v>0</c:v>
                </c:pt>
                <c:pt idx="1">
                  <c:v>165000</c:v>
                </c:pt>
                <c:pt idx="2">
                  <c:v>330000</c:v>
                </c:pt>
                <c:pt idx="3">
                  <c:v>495000</c:v>
                </c:pt>
                <c:pt idx="4">
                  <c:v>660000</c:v>
                </c:pt>
                <c:pt idx="5">
                  <c:v>825000</c:v>
                </c:pt>
                <c:pt idx="6">
                  <c:v>990000</c:v>
                </c:pt>
                <c:pt idx="7">
                  <c:v>1155000</c:v>
                </c:pt>
                <c:pt idx="8">
                  <c:v>1320000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2B-452F-9CA2-B28B65413F0C}"/>
            </c:ext>
          </c:extLst>
        </c:ser>
        <c:ser>
          <c:idx val="2"/>
          <c:order val="2"/>
          <c:tx>
            <c:strRef>
              <c:f>Совокупные постоянные затраты, руб</c:f>
              <c:strCache>
                <c:ptCount val="1"/>
                <c:pt idx="0">
                  <c:v>Совокупные постоянные затраты, руб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{0,275,550,825,1100,1375,1650,1925,2200}</c:f>
              <c:numCache>
                <c:formatCode>General</c:formatCode>
                <c:ptCount val="9"/>
                <c:pt idx="0">
                  <c:v>0</c:v>
                </c:pt>
                <c:pt idx="1">
                  <c:v>275</c:v>
                </c:pt>
                <c:pt idx="2">
                  <c:v>550</c:v>
                </c:pt>
                <c:pt idx="3">
                  <c:v>825</c:v>
                </c:pt>
                <c:pt idx="4">
                  <c:v>1100</c:v>
                </c:pt>
                <c:pt idx="5">
                  <c:v>1375</c:v>
                </c:pt>
                <c:pt idx="6">
                  <c:v>1650</c:v>
                </c:pt>
                <c:pt idx="7">
                  <c:v>1925</c:v>
                </c:pt>
                <c:pt idx="8">
                  <c:v>2200</c:v>
                </c:pt>
              </c:numCache>
            </c:numRef>
          </c:cat>
          <c:val>
            <c:numRef>
              <c:f>{400000,400000,400000,400000,400000,400000,400000,400000,400000}</c:f>
              <c:numCache>
                <c:formatCode>General</c:formatCode>
                <c:ptCount val="9"/>
                <c:pt idx="0">
                  <c:v>400000</c:v>
                </c:pt>
                <c:pt idx="1">
                  <c:v>400000</c:v>
                </c:pt>
                <c:pt idx="2">
                  <c:v>400000</c:v>
                </c:pt>
                <c:pt idx="3">
                  <c:v>400000</c:v>
                </c:pt>
                <c:pt idx="4">
                  <c:v>400000</c:v>
                </c:pt>
                <c:pt idx="5">
                  <c:v>400000</c:v>
                </c:pt>
                <c:pt idx="6">
                  <c:v>400000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2B-452F-9CA2-B28B65413F0C}"/>
            </c:ext>
          </c:extLst>
        </c:ser>
        <c:ser>
          <c:idx val="3"/>
          <c:order val="3"/>
          <c:tx>
            <c:strRef>
              <c:f>Общие издержки</c:f>
              <c:strCache>
                <c:ptCount val="1"/>
                <c:pt idx="0">
                  <c:v>Общие издержки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{0,275,550,825,1100,1375,1650,1925,2200}</c:f>
              <c:numCache>
                <c:formatCode>General</c:formatCode>
                <c:ptCount val="9"/>
                <c:pt idx="0">
                  <c:v>0</c:v>
                </c:pt>
                <c:pt idx="1">
                  <c:v>275</c:v>
                </c:pt>
                <c:pt idx="2">
                  <c:v>550</c:v>
                </c:pt>
                <c:pt idx="3">
                  <c:v>825</c:v>
                </c:pt>
                <c:pt idx="4">
                  <c:v>1100</c:v>
                </c:pt>
                <c:pt idx="5">
                  <c:v>1375</c:v>
                </c:pt>
                <c:pt idx="6">
                  <c:v>1650</c:v>
                </c:pt>
                <c:pt idx="7">
                  <c:v>1925</c:v>
                </c:pt>
                <c:pt idx="8">
                  <c:v>2200</c:v>
                </c:pt>
              </c:numCache>
            </c:numRef>
          </c:cat>
          <c:val>
            <c:numRef>
              <c:f>{400000,565000,730000,895000,1060000,1225000,1390000,1555000,1720000}</c:f>
              <c:numCache>
                <c:formatCode>General</c:formatCode>
                <c:ptCount val="9"/>
                <c:pt idx="0">
                  <c:v>400000</c:v>
                </c:pt>
                <c:pt idx="1">
                  <c:v>565000</c:v>
                </c:pt>
                <c:pt idx="2">
                  <c:v>730000</c:v>
                </c:pt>
                <c:pt idx="3">
                  <c:v>895000</c:v>
                </c:pt>
                <c:pt idx="4">
                  <c:v>1060000</c:v>
                </c:pt>
                <c:pt idx="5">
                  <c:v>1225000</c:v>
                </c:pt>
                <c:pt idx="6">
                  <c:v>1390000</c:v>
                </c:pt>
                <c:pt idx="7">
                  <c:v>1555000</c:v>
                </c:pt>
                <c:pt idx="8">
                  <c:v>1720000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2B-452F-9CA2-B28B65413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713728"/>
        <c:axId val="328698880"/>
      </c:lineChart>
      <c:catAx>
        <c:axId val="328713728"/>
        <c:scaling>
          <c:orientation val="minMax"/>
        </c:scaling>
        <c:delete val="0"/>
        <c:axPos val="b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Годовой объём, ед.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328698880"/>
        <c:crosses val="autoZero"/>
        <c:auto val="1"/>
        <c:lblAlgn val="ctr"/>
        <c:lblOffset val="100"/>
        <c:noMultiLvlLbl val="0"/>
      </c:catAx>
      <c:valAx>
        <c:axId val="328698880"/>
        <c:scaling>
          <c:orientation val="minMax"/>
        </c:scaling>
        <c:delete val="0"/>
        <c:axPos val="l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Прибыль,</a:t>
                </a:r>
                <a:b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</a:b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руб.</a:t>
                </a:r>
              </a:p>
            </c:rich>
          </c:tx>
          <c:layout>
            <c:manualLayout>
              <c:xMode val="edge"/>
              <c:yMode val="edge"/>
              <c:x val="2.0751183021676198E-2"/>
              <c:y val="1.19618003765541E-2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328713728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rot="0" spcFirstLastPara="0" vertOverflow="ellipsis" vert="horz" wrap="square" lIns="0" tIns="0" rIns="0" bIns="0" anchor="ctr" anchorCtr="1"/>
        <a:lstStyle/>
        <a:p>
          <a:pPr>
            <a:defRPr lang="ru-RU" sz="1000" b="0" i="0" u="none" strike="noStrike" kern="1200" baseline="0">
              <a:solidFill>
                <a:srgbClr val="000000"/>
              </a:solidFill>
              <a:latin typeface="Calibri" panose="020F0502020204030204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9528" cap="flat" cmpd="sng" algn="ctr">
      <a:solidFill>
        <a:srgbClr val="868686"/>
      </a:solidFill>
      <a:prstDash val="solid"/>
      <a:round/>
    </a:ln>
  </c:spPr>
  <c:txPr>
    <a:bodyPr lIns="0" tIns="0" rIns="0" bIns="0"/>
    <a:lstStyle/>
    <a:p>
      <a:pPr algn="ctr">
        <a:defRPr lang="ru-RU" sz="1000" b="0" i="0" u="none" strike="noStrike" kern="1200" baseline="0">
          <a:solidFill>
            <a:srgbClr val="000000"/>
          </a:solidFill>
          <a:latin typeface="Calibri" panose="020F0502020204030204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Тимофей Литвинюк</cp:lastModifiedBy>
  <cp:revision>3</cp:revision>
  <dcterms:created xsi:type="dcterms:W3CDTF">2024-04-28T20:44:00Z</dcterms:created>
  <dcterms:modified xsi:type="dcterms:W3CDTF">2024-05-09T20:06:00Z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3D50F04BEA44483780F24D3E3E41C5C9_12</vt:lpwstr>
  </property>
</Properties>
</file>