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№4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«Криптографические методы защиты информации»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«Факторизация составного числа»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Хацкевич М. 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2023</w:t>
      </w:r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Цель:</w:t>
      </w:r>
      <w:r>
        <w:rPr>
          <w:rFonts w:cs="Times New Roman" w:ascii="Times New Roman" w:hAnsi="Times New Roman"/>
          <w:sz w:val="28"/>
        </w:rPr>
        <w:t xml:space="preserve"> освоить алгоритмы факторизации составного числа.</w:t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работы:</w:t>
      </w:r>
    </w:p>
    <w:p>
      <w:pPr>
        <w:pStyle w:val="ListParagraph"/>
        <w:jc w:val="center"/>
        <w:rPr>
          <w:rFonts w:ascii="Liberation Serif" w:hAnsi="Liberation Serif"/>
          <w:sz w:val="28"/>
        </w:rPr>
      </w:pPr>
      <w:r>
        <w:rPr/>
        <w:drawing>
          <wp:inline distT="0" distB="0" distL="0" distR="0">
            <wp:extent cx="3829685" cy="2857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"/>
          <w:type w:val="nextPage"/>
          <w:pgSz w:w="11906" w:h="16838"/>
          <w:pgMar w:left="1701" w:right="850" w:gutter="0" w:header="708" w:top="1134" w:footer="0" w:bottom="1134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#include &lt;iostream&gt;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#include &lt;cmath&gt;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#include "../Libs/bignumber.h"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using namespace pr0crustes;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using namespace std;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bool isPrime(unsigned long long N);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void dividing(unsigned long long N);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unsigned long long gcd(unsigned long long a, unsigned long long b);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pair&lt;unsigned long long, unsigned long long&gt; fermat_factorization(unsigned long long n);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pair&lt;unsigned long long, unsigned long long&gt; combined_method(unsigned long long n);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int main()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short menu;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unsigned long long N;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while (true){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 xml:space="preserve">cout &lt;&lt; "1. Метод пробного деления.\n" &lt;&lt; 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 xml:space="preserve">"2. Метод Ферма (без операции деления).\n" &lt;&lt; 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"3. Комбинированный метод.\n" &lt;&lt;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"4. Выход из программы.\n&gt; ";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cin &gt;&gt; menu;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switch(menu){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case 1:{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cout &lt;&lt; "Введите число: "; cin &gt;&gt; N;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dividing(N); cout &lt;&lt; endl &lt;&lt; endl;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break;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 xml:space="preserve">}    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case 2:{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cout &lt;&lt; "Введите число: "; cin &gt;&gt; N;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pair&lt;unsigned long long, unsigned long long&gt; a = fermat_factorization(N);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cout &lt;&lt; a.first &lt;&lt; " " &lt;&lt; a.second &lt;&lt; endl;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break;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case 3:{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cout &lt;&lt; "Введите число: "; cin &gt;&gt; N;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 xml:space="preserve">pair&lt;unsigned long long, unsigned long long&gt; a = combined_method(N); 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cout &lt;&lt; a.first &lt;&lt; " " &lt;&lt; a.second &lt;&lt; endl;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break;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 xml:space="preserve">}    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case 4:{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return 0;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break;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 xml:space="preserve">}    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bool isPrime(unsigned long long n){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bool is_prime = true;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for (unsigned long long i = 2; i &lt;= sqrt(n); i += 2)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if (n % i == 0)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is_prime = false;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break;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return is_prime;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void dividing(unsigned long long n){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if (n % 2 == 0)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cout &lt;&lt; "2 ";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n /= 2;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for (int i = 3; i &lt;= sqrt(n); i += 2)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while (n % i == 0)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cout &lt;&lt; i &lt;&lt; " ";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n /= i;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if (n &gt; 2)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cout &lt;&lt; n;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unsigned long long gcd(unsigned long long a, unsigned long long b)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if (b == 0) return a;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return gcd(b, a % b);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pair&lt;unsigned long long, unsigned long long&gt; fermat_factorization(unsigned long long n)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if (n % 2 == 0)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return make_pair(2, n / 2);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unsigned long long k = sqrt(n);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while (true)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unsigned long long r = sqrt(k * k - n);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if (r * r == k * k - n) 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return make_pair(k - r, k + r);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k++;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pair&lt;unsigned long long, unsigned long long&gt; combined_method(unsigned long long n){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 xml:space="preserve">if (isPrime(n)) 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return make_pair(1, n);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return fermat_factorization(n);</w:t>
      </w:r>
    </w:p>
    <w:p>
      <w:pPr>
        <w:pStyle w:val="ListParagrap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632460</wp:posOffset>
            </wp:positionH>
            <wp:positionV relativeFrom="paragraph">
              <wp:posOffset>45720</wp:posOffset>
            </wp:positionV>
            <wp:extent cx="2211705" cy="1348105"/>
            <wp:effectExtent l="0" t="0" r="0" b="0"/>
            <wp:wrapSquare wrapText="lef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ListParagraph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}</w:t>
      </w:r>
    </w:p>
    <w:p>
      <w:pPr>
        <w:sectPr>
          <w:type w:val="continuous"/>
          <w:pgSz w:w="11906" w:h="16838"/>
          <w:pgMar w:left="1701" w:right="850" w:gutter="0" w:header="708" w:top="1134" w:footer="0" w:bottom="1134"/>
          <w:cols w:num="2" w:equalWidth="false" w:sep="false">
            <w:col w:w="3937" w:space="1250"/>
            <w:col w:w="4167"/>
          </w:cols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before="0" w:after="198"/>
        <w:ind w:left="-567" w:right="-284" w:hanging="0"/>
        <w:contextualSpacing/>
        <w:jc w:val="both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Метод Ферма занимает гораздо больше времени   на разложение чисел на простые множители.</w:t>
      </w:r>
    </w:p>
    <w:p>
      <w:pPr>
        <w:pStyle w:val="Normal"/>
        <w:spacing w:before="0" w:after="198"/>
        <w:ind w:left="-567" w:hanging="0"/>
        <w:contextualSpacing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1595156519÷11=145014229, числа 11 и 145014229 — простые, значит, программа отработала правильно.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98"/>
        <w:ind w:left="-624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/>
          <w:sz w:val="28"/>
          <w:szCs w:val="28"/>
        </w:rPr>
        <w:t>освоил алгоритмы факторизации составных чисел.</w:t>
      </w:r>
    </w:p>
    <w:sectPr>
      <w:type w:val="continuous"/>
      <w:pgSz w:w="11906" w:h="16838"/>
      <w:pgMar w:left="1701" w:right="850" w:gutter="0" w:header="708" w:top="1134" w:footer="0" w:bottom="1134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Style9" w:customStyle="1">
    <w:name w:val="Символ сноски"/>
    <w:uiPriority w:val="99"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Текст концевой сноски Знак"/>
    <w:link w:val="Endnote"/>
    <w:uiPriority w:val="99"/>
    <w:qFormat/>
    <w:rPr>
      <w:sz w:val="20"/>
    </w:rPr>
  </w:style>
  <w:style w:type="character" w:styleId="Style11" w:customStyle="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TextBody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Indexheading">
    <w:name w:val="index heading"/>
    <w:basedOn w:val="Title"/>
    <w:qFormat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10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-709" w:right="-284" w:hanging="0"/>
      <w:contextualSpacing/>
    </w:pPr>
    <w:rPr>
      <w:rFonts w:ascii="Liberation Mono" w:hAnsi="Liberation Mono" w:eastAsia="Liberation Mono" w:cs="Liberation Mono"/>
      <w:sz w:val="16"/>
      <w:szCs w:val="28"/>
    </w:rPr>
  </w:style>
  <w:style w:type="paragraph" w:styleId="Style15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0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4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0504D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BB59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064A2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BACC6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79646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0504D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0504D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BB5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BB5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064A2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064A2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BACC6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BACC6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79646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79646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LibreOffice/7.5.1.2$Linux_X86_64 LibreOffice_project/fcbaee479e84c6cd81291587d2ee68cba099e129</Application>
  <AppVersion>15.0000</AppVersion>
  <Pages>2</Pages>
  <Words>466</Words>
  <Characters>2285</Characters>
  <CharactersWithSpaces>3188</CharactersWithSpaces>
  <Paragraphs>112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2023-04-13T19:00:00Z</dcterms:created>
  <dc:creator>Стас Байко</dc:creator>
  <dc:description/>
  <dc:language>ru-RU</dc:language>
  <cp:lastModifiedBy/>
  <dcterms:modified xsi:type="dcterms:W3CDTF">2023-04-14T00:47:01Z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