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3 October 2026. This version adds a source-informed synthetic V1 figure/ground test to the retrospective portfolio and earlier M2/M5/DMP tests. It is not submission-ready: project-level audits classify both NMI Article and Analysis as not ready; source freeze, licensing, attribution, author information and venue fit remain open.</w:t>
      </w:r>
    </w:p>
    <w:p>
      <w:pPr>
        <w:pStyle w:val="Heading1"/>
      </w:pPr>
      <w:r>
        <w:t>Abstract</w:t>
      </w:r>
    </w:p>
    <w:p>
      <w:pPr>
        <w:spacing w:after="120" w:line="269" w:lineRule="auto"/>
      </w:pPr>
      <w:r>
        <w:rPr>
          <w:rFonts w:ascii="Cambria" w:hAnsi="Cambria"/>
          <w:sz w:val="21"/>
        </w:rPr>
        <w:t xml:space="preserve">Biological provenance does not itself establish artificial utility. We synthesize two heterogeneous research portfolios and report four separately analysed synthetic tests. The tested connectome assay and single-specimen Fish1.5 analysis did not establish a general structural advantage; its frozen topology-null inference was invalid. Published </w:t>
      </w:r>
      <w:r>
        <w:rPr>
          <w:rFonts w:ascii="Cambria" w:hAnsi="Cambria"/>
          <w:i/>
          <w:sz w:val="21"/>
        </w:rPr>
        <w:t>C. elegans</w:t>
      </w:r>
      <w:r>
        <w:rPr>
          <w:rFonts w:ascii="Cambria" w:hAnsi="Cambria"/>
          <w:sz w:val="21"/>
        </w:rPr>
        <w:t xml:space="preserve"> evidence supports a bounded motor-state computation, whereas a planned animal-level reanalysis was schema-blocked. Realized-state input did not improve synthetic action-conditioned tracking; temporal correspondence helped a local rule but generic controls showed larger effects; and no DMP task met its mechanism-specificity gate. A source-informed synthetic V1 figure/ground test produced an interaction opposite to its stated alignment-benefit prediction, while the aligned feature-selective circuit underperformed a nonselective pool. None of these results validates biological mechanisms or general transfer. They motivate an evidence framework that separates source support, information correspondence and artificial utility, but do not validate the framework itself.</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Three claims are often conflated: whether a biological structure is reliably characterized, whether it supports a particular computation, and whether an abstraction improves an artificial task. Evidence for one claim does not settle the next. For the portfolio map, we separate artificial transfer into two questions—whether task-relevant information is represented and whether that representation improves utility—yielding four organizing questions: biological structure, source-supported computation, information correspondence and artificial utility. These are distinct evidence categories, not a causal sequence or necessary conditions already established by these data.</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These histories are heterogeneous: they include source literature, source-data analyses, model reproductions, synthetic experiments, negative results, invalid analyses and blocked data paths.</w:t>
      </w:r>
    </w:p>
    <w:p>
      <w:pPr>
        <w:spacing w:after="120" w:line="269" w:lineRule="auto"/>
      </w:pPr>
      <w:r>
        <w:rPr>
          <w:rFonts w:ascii="Cambria" w:hAnsi="Cambria"/>
          <w:sz w:val="21"/>
        </w:rPr>
        <w:t xml:space="preserve">Here we ask </w:t>
      </w:r>
      <w:r>
        <w:rPr>
          <w:rFonts w:ascii="Cambria" w:hAnsi="Cambria"/>
          <w:b/>
          <w:sz w:val="21"/>
        </w:rPr>
        <w:t>which evidential transitions in neural-to-artificial transfer require separate empirical support</w:t>
      </w:r>
      <w:r>
        <w:rPr>
          <w:rFonts w:ascii="Cambria" w:hAnsi="Cambria"/>
          <w:sz w:val="21"/>
        </w:rPr>
        <w:t>. We address this through a retrospective, case-based synthesis, not a pooled test or a claim that the projects were prospectively designed as one study. Figure 2 uses four organizing questions—biological structure, source-supported computation, information correspondence and artificial utility—to show where each portfolio contributes evidence and where transitions require separate tests. These cases have no common estimand and do not jointly test a unified transfer law. Our contribution is an evidence-bounded synthesis of two research portfolios, three earlier synthetic tests and one newly selected source-informed synthetic test. The map is an organizing proposal rather than a validated transfer theory.</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and four synthetic experiments on execution-state information, temporal correspondence, fast–slow dynamics and feature-tuned contextual inhibition. NeuroMotif and NeuroMech were independent research portfolios with different tasks and units of analysis; their outcomes were not pooled. M2 and M5 were designed after earlier project outcomes; DMP and the V1 test were later post-result additions. Each protocol was frozen locally before its own outcome run, but none was a project-level preregistration or an independent biological validation (Supplementary Methods S1, S4 and S5; Supplementary Tables S3–S7).</w:t>
      </w:r>
    </w:p>
    <w:p>
      <w:pPr>
        <w:pStyle w:val="Heading2"/>
      </w:pPr>
      <w:r>
        <w:t>1. The tested connectome descriptions did not establish the proposed computational advantage</w:t>
      </w:r>
    </w:p>
    <w:p>
      <w:pPr>
        <w:spacing w:after="120" w:line="269" w:lineRule="auto"/>
      </w:pPr>
      <w:r>
        <w:rPr>
          <w:rFonts w:ascii="Cambria" w:hAnsi="Cambria"/>
          <w:sz w:val="21"/>
        </w:rPr>
        <w:t>The whole-connectome assay did not establish an advantage of the tested off-diagonal topology for value retention (Supplementary Table S1 and Supplementary Results S3). In the frozen reservoir/interference assay, connectome-based interactions did not outperform passive identity-like persistence in the interference range with recoverable signal. A crossover at stronger interference occurred only when both models approached noise-level retention. The comparator retained diagonal state persistence, so the contrast tested the added value of the specified interactions over an existing memory process. It did not compare recurrence with a memoryless system. This result bounded the tested topology, dynamics and task; it did not establish that connectome structure generally lacks computational value.</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Together, these assays did not establish the proposed structure-to-dynamics advantage under their evaluated conditions.</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prespecified sample-efficiency gate for this one task.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Feature-matched inhibition did not improve the synthetic figure–ground task</w:t>
      </w:r>
    </w:p>
    <w:p>
      <w:pPr>
        <w:spacing w:after="120" w:line="269" w:lineRule="auto"/>
      </w:pPr>
      <w:r>
        <w:rPr>
          <w:rFonts w:ascii="Cambria" w:hAnsi="Cambria"/>
          <w:sz w:val="21"/>
        </w:rPr>
        <w:t>We tested a reported mouse V1 motif—like-to-like orientation-tuned pyramidal-cell input to SST interneurons and SST contribution to surround suppression [14]—on a synthetic figure/ground task. Generated eight-channel orientation responses, not source neural recordings, were used to segment a 3 × 3 patch. Thirty task-instance seeds crossed selective versus global inhibition with aligned versus permuted routing; training sizes were 32, 128 and 512 images, with IID and skewed-background tests (Supplementary Methods S5 and Table S5). At N = 512, the generic-context reference exceeded the 9/121 AP null by 0.37219 (95% task-seed bootstrap CI, 0.36046 to 0.38379), passing task viability.</w:t>
      </w:r>
    </w:p>
    <w:p>
      <w:pPr>
        <w:spacing w:after="120" w:line="269" w:lineRule="auto"/>
      </w:pPr>
      <w:r>
        <w:rPr>
          <w:rFonts w:ascii="Cambria" w:hAnsi="Cambria"/>
          <w:sz w:val="21"/>
        </w:rPr>
        <w:t>The frozen interaction was +0.01603 AP (95% CI, 0.00815 to 0.02357; two-sided sign-flip P = 0.00060). Its formula was broken minus aligned, so with higher-is-better AP, the estimate indicates a relative benefit from breaking routing—the opposite of the protocol narrative's prediction. Selective/aligned pooling also underperformed global/aligned pooling by 0.02208 AP (95% CI, 0.01664 to 0.02737). The positive mechanism-specificity gate failed. The skewed-background interaction had the same direction (+0.01692; 95% CI, 0.00553 to 0.02913); the sample-size slope was inconclusive. We preserved the frozen contract and outputs and documented its sign-direction wording error.</w:t>
      </w:r>
    </w:p>
    <w:p>
      <w:pPr>
        <w:spacing w:after="120" w:line="269" w:lineRule="auto"/>
      </w:pPr>
      <w:r>
        <w:rPr>
          <w:rFonts w:ascii="Cambria" w:hAnsi="Cambria"/>
          <w:sz w:val="21"/>
        </w:rPr>
        <w:t>This source-informed synthetic test was selected after earlier project outcomes; its visual domain overlaps prior synthetic-visual work. Its generic comparator was a linear context model, not a strong or parameter-matched neural network. It does not validate the biological circuit, the full evidence map or a general transfer claim.</w:t>
      </w:r>
    </w:p>
    <w:p>
      <w:pPr>
        <w:pStyle w:val="Heading1"/>
      </w:pPr>
      <w:r>
        <w:t>Discussion</w:t>
      </w:r>
    </w:p>
    <w:p>
      <w:pPr>
        <w:spacing w:after="120" w:line="269" w:lineRule="auto"/>
      </w:pPr>
      <w:r>
        <w:rPr>
          <w:rFonts w:ascii="Cambria" w:hAnsi="Cambria"/>
          <w:sz w:val="21"/>
        </w:rPr>
        <w:t>The evaluated cases separated source support from artificial utility at several points. Structural descriptions did not establish their proposed dynamical advantage within the tested assays. Supported biological computations left artificial implementation choices unresolved. The synthetic experiments had different outcomes: direct execution-state access did not improve the tested AcRKN controller; temporal correspondence helped a local rule but generic alternatives had larger effects; fast–slow dynamics did not yield a positive mechanism-specific advantage across three task families; and feature-selective inhibition failed its aligned-utility gate in the new segmentation task. The latter interaction ran opposite to its stated directional prediction, so it does not support an alignment benefit. Together, the results treat source support, information correspondence and implementation utility as separate, evidence-bounded claims.</w:t>
      </w:r>
    </w:p>
    <w:p>
      <w:pPr>
        <w:spacing w:after="120" w:line="269" w:lineRule="auto"/>
      </w:pPr>
      <w:r>
        <w:rPr>
          <w:rFonts w:ascii="Cambria" w:hAnsi="Cambria"/>
          <w:sz w:val="21"/>
        </w:rPr>
        <w:t>We propose a neural transfer evidence map with four questions: source validity, computational interpretation, information correspondence and artificial utility. Source validity concerns the identity, coverage and limitations of the biological observations. Computational interpretation specifies the operation supported by recordings, models or interventions. Information correspondence asks which task-relevant variable or relation survives in the artificial input and representation. Artificial utility is a measured benefit under a stated objective and comparator set. Mechanism specificity is a separate question about whether the proposed operation explains an effect beyond alternative implementations. The map organizes the present cases; its categories are neither a causal sequence nor established necessary and sufficient conditions for successful transfer (Fig. 2).</w:t>
      </w:r>
    </w:p>
    <w:p>
      <w:pPr>
        <w:spacing w:after="120" w:line="269" w:lineRule="auto"/>
      </w:pPr>
      <w:r>
        <w:rPr>
          <w:rFonts w:ascii="Cambria" w:hAnsi="Cambria"/>
          <w:sz w:val="21"/>
        </w:rPr>
        <w:t>The synthetic outcomes are compatible with implementation-level explanations. In M2, worse performance from additional information does not imply that the observation is intrinsically harmful or useless to an optimal estimator; diagnostics left representation and training effects unresolved. In M5, ridge used the same eligibility features but a smaller head and different objective, so its advantage leaves the learning-rule contribution unidentified at matched capacity. The correspondence manipulation changed both training and evaluation pairing, and complete-trial features did not demonstrate online eligibility. In the fast–slow study, the short-state control performed better in state estimation; contextual-decision gains diminished with data and did not persist at longer delay. This may reflect task-specific optimization, not a biological cause.</w:t>
      </w:r>
    </w:p>
    <w:p>
      <w:pPr>
        <w:spacing w:after="120" w:line="269" w:lineRule="auto"/>
      </w:pPr>
      <w:r>
        <w:rPr>
          <w:rFonts w:ascii="Cambria" w:hAnsi="Cambria"/>
          <w:sz w:val="21"/>
        </w:rPr>
        <w:t>These findings qualify the evaluated implementations without overturning successful connectome-informed or biologically motivated models in other settings. Connectome reservoir models have shown task-specific utility, while recent work on connectome-constrained recurrent networks combines structural and functional evidence to predict activity [1, 2]. These precedents place the present negative or bounded results in context: they do not show that biological connectivity lacks computational value. Source circuitry can constrain a model without being the uniquely effective artificial realization of a computation. Conversely, generic prediction from a source-derived representation does not show that the source mechanism is absent or unnecessary in the animal. The evidence map makes those distinctions explicit (Fig. 6), but these cases do not establish its novelty or generality across neural systems.</w:t>
      </w:r>
    </w:p>
    <w:p>
      <w:pPr>
        <w:spacing w:after="120" w:line="269" w:lineRule="auto"/>
      </w:pPr>
      <w:r>
        <w:rPr>
          <w:rFonts w:ascii="Cambria" w:hAnsi="Cambria"/>
          <w:sz w:val="21"/>
        </w:rPr>
        <w:t>Several limits follow from the evidence units and selection history. Fish1.5 included one specimen and an invalid frozen topology null; neuronal resampling did not provide animal-population inference. The source readout used within-session splits and modeled weights (Supplementary Results S2). All four synthetic tests followed inspection of earlier outcomes. The new V1 test used generated visual signals, a linear generic comparator and a contrast with a sign-direction wording error; its modality also overlaps earlier project work. DMP had no biological measurements or independent transfer, and its scaling signal arose in one family without specificity. Historical invalid, blocked and unfavourable records remain in the supplement (Supplementary Results S1). Source linkage and reuse rights remain incomplete. These cases support bounded implementation claims only.</w:t>
      </w:r>
    </w:p>
    <w:p>
      <w:pPr>
        <w:pStyle w:val="Heading1"/>
      </w:pPr>
      <w:r>
        <w:t>Methods</w:t>
      </w:r>
    </w:p>
    <w:p>
      <w:pPr>
        <w:pStyle w:val="Heading2"/>
      </w:pPr>
      <w:r>
        <w:t>Study design and evidence selection</w:t>
      </w:r>
    </w:p>
    <w:p>
      <w:pPr>
        <w:spacing w:after="120" w:line="269" w:lineRule="auto"/>
      </w:pPr>
      <w:r>
        <w:rPr>
          <w:rFonts w:ascii="Cambria" w:hAnsi="Cambria"/>
          <w:sz w:val="21"/>
        </w:rPr>
        <w:t>NeuroConverge is a retrospective, case-based synthesis of two independently developed research portfolios, with four separately analysed synthetic tests. It is not a systematic review, a prospectively unified biological study or a meta-analysis, and its cases have no common estimand. We imported all 39 records from the NeuroMech Route-D V3 classification matrix and retained their original evidence labels, units, statuses and interpretation limits in Supplementary Table S1. The nine claims in the initial publication draft are accounted for separately in Supplementary Table S2: three map to V3 main-text candidates, one is an editorial synthesis, three are hash-pinned branch records without exact V3 rows, one is a post-result follow-up whose relationship to M10 remains unresolved, and one maps to a V3 supplementary-only record. The C08 contract identifies it as a distinct follow-up to V2; we do not merge it with V2 or make an M10-linked claim. RR18 and RR19 appear as separately governed exclusions in the 39-row disposition matrix and are excluded from the manuscript synthesis.</w:t>
      </w:r>
    </w:p>
    <w:p>
      <w:pPr>
        <w:spacing w:after="120" w:line="269" w:lineRule="auto"/>
      </w:pPr>
      <w:r>
        <w:rPr>
          <w:rFonts w:ascii="Cambria" w:hAnsi="Cambria"/>
          <w:sz w:val="21"/>
        </w:rPr>
        <w:t>Main-text selection considered structural evidence, source-supported computation, execution-state access, temporal correspondence and fast–slow dynamics.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portfolios nor the M2, M5 and DMP V1 endpoints were pooled. Each module contract was frozen before its own outcome execution, following inspection of earlier project results; this was not project-level preregistration, and none is an independent biological confirmation.</w:t>
      </w:r>
    </w:p>
    <w:p>
      <w:pPr>
        <w:pStyle w:val="Heading2"/>
      </w:pPr>
      <w:r>
        <w:t>Whole-connectome reservoir assay</w:t>
      </w:r>
    </w:p>
    <w:p>
      <w:pPr>
        <w:spacing w:after="120" w:line="269" w:lineRule="auto"/>
      </w:pPr>
      <w:r>
        <w:rPr>
          <w:rFonts w:ascii="Cambria" w:hAnsi="Cambria"/>
          <w:sz w:val="21"/>
        </w:rPr>
        <w:t>The locally archived M0 report evaluated neuron-level mappings of worm and larval fly connectivity under fixed reservoir dynamics and sustained interference. The recurrence implemented</w:t>
      </w:r>
    </w:p>
    <w:p>
      <w:pPr>
        <w:spacing w:before="60" w:after="140"/>
        <w:jc w:val="center"/>
      </w:pPr>
      <w:r>
        <w:rPr>
          <w:rFonts w:ascii="Cambria Math" w:hAnsi="Cambria Math"/>
          <w:sz w:val="20"/>
        </w:rPr>
        <w:t>hₜ=(1-λ)hₜ₋₁+λtanh(Wₕₕhₜ₋₁+Wₓxₜ+b).</w:t>
      </w:r>
    </w:p>
    <w:p>
      <w:pPr>
        <w:spacing w:after="120" w:line="269" w:lineRule="auto"/>
      </w:pPr>
      <w:r>
        <w:rPr>
          <w:rFonts w:ascii="Cambria" w:hAnsi="Cambria"/>
          <w:sz w:val="21"/>
        </w:rPr>
        <w:t>The passive comparator set the off-diagonal recurrent matrix to zero while retaining the same leak and diagonal state persistence. Matched comparisons shared the input-weight draw, stimuli, interference realization, probe split and ridge regularization. Value retention was assessed using readouts of reservoir state under the predefined delays and interference settings. The manuscript uses the corrected report's bounded conclusion in the range with recoverable information, retaining its noise-floor crossover qualification. The underlying report also records node-exclusion, random-seed and probe corrections; earlier invalid implementations were not treated as independent results.</w:t>
      </w:r>
    </w:p>
    <w:p>
      <w:pPr>
        <w:spacing w:after="120" w:line="269" w:lineRule="auto"/>
      </w:pPr>
      <w:r>
        <w:rPr>
          <w:rFonts w:ascii="Cambria" w:hAnsi="Cambria"/>
          <w:sz w:val="21"/>
        </w:rPr>
        <w:t>This manuscript did not rerun or reconstruct the complete M0 assay. The corrected report and available manifests are identified in the paper-critical source snapshot. Canonical round-level linkage is not fully reconciled, so the present Methods describe the supported comparator definition without assigning one unresolved configuration to every historical round. The report, scope of this limitation and source records are retained in Supplementary Results S3 and the reproducibility inventory.</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For each location, the local surround was the mean of its eight neighbouring responses. The feature-selective pathway subtracted 0.65 times the same-channel surround activity, or the activity routed through a fixed no-fixed-point channel permutation in the correspondence-broken arm. The global-pool control subtracted 0.65 times the mean surround activity, broadcast across channels, and was invariant to that permutation. All four factorial cells used the same ridge-regularized linear discriminant readout (λ = 0.02); the generic-context reference received concatenated local and surround channels (16 inputs). This generic reference was information matched but neither parameter matched to the eight-input factorial cells nor a strong neural network. The task-null AP was the positive-pixel prevalence, 9/121.</w:t>
      </w:r>
    </w:p>
    <w:p>
      <w:pPr>
        <w:spacing w:after="120" w:line="269" w:lineRule="auto"/>
      </w:pPr>
      <w:r>
        <w:rPr>
          <w:rFonts w:ascii="Cambria" w:hAnsi="Cambria"/>
          <w:sz w:val="21"/>
        </w:rPr>
        <w:t xml:space="preserve">Thirty task-instance seeds were the independent units; images and pixels were nested. The primary outcome was mean per-image AP. The frozen interaction used the </w:t>
      </w:r>
      <w:r>
        <w:rPr>
          <w:rFonts w:ascii="Cambria Math" w:hAnsi="Cambria Math"/>
          <w:sz w:val="21"/>
        </w:rPr>
        <w:t>(broken − aligned)</w:t>
      </w:r>
      <w:r>
        <w:rPr>
          <w:rFonts w:ascii="Cambria" w:hAnsi="Cambria"/>
          <w:sz w:val="21"/>
        </w:rPr>
        <w:t xml:space="preserve"> AP contrast for selective minus global pooling; the protocol narrative mistakenly assigned a positive value to an alignment benefit. We preserve that formula and report the observed sign with its corrected directional meaning. Paired task-seed bootstrap intervals used 20,000 draws; two-sided sign-flip tests used 100,000 Monte Carlo sign patterns with NumPy </w:t>
      </w:r>
      <w:r>
        <w:rPr>
          <w:rFonts w:ascii="Cambria Math" w:hAnsi="Cambria Math"/>
          <w:sz w:val="21"/>
        </w:rPr>
        <w:t>default_rng(20261003)</w:t>
      </w:r>
      <w:r>
        <w:rPr>
          <w:rFonts w:ascii="Cambria" w:hAnsi="Cambria"/>
          <w:sz w:val="21"/>
        </w:rPr>
        <w:t xml:space="preserve">. The positive specificity gate required generic-reference viability, an interaction meeting the frozen numerical criterion, and higher aligned AP for selective than global pooling. The three sample sizes and the skewed-background test were secondary. The full protocol, source/runner/verifier hashes, per-image outcomes, verifier and amendment are in </w:t>
      </w:r>
      <w:r>
        <w:rPr>
          <w:rFonts w:ascii="Cambria Math" w:hAnsi="Cambria Math"/>
          <w:sz w:val="21"/>
        </w:rPr>
        <w:t>../new_experiments/PROSPECTIVE_V1/</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Each row identifies a distinct evidence question, its record-level status and narrowest supported scope. The figure includes the DMP fast–slow study and the source-informed V1 PC→SST synthetic test. M2, M5, DMP and V1 endpoints and independent units are not combined. The V1 interaction was positive under a broken-minus-aligned AP formula, opposite to the protocol narrative; aligned selective pooling also underperformed the global-pool control. This test is synthetic, selected after earlier project outcomes, and shares the broader visual domain with prior work. “Not established” denotes a limit of assessed evidence, not proof of absence. The map remains a retrospective organizing proposal, not a validated hierarchy.</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r>
        <w:br w:type="page"/>
      </w:r>
    </w:p>
    <w:p>
      <w:pPr>
        <w:pStyle w:val="Heading1"/>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Each row identifies a distinct evidence question, its record-level status and narrowest supported scope. The figure includes the DMP fast–slow study and the source-informed V1 PC→SST synthetic test. M2, M5, DMP and V1 endpoints and independent units are not combined. The V1 interaction was positive under a broken-minus-aligned AP formula, opposite to the protocol narrative; aligned selective pooling also underperformed the global-pool control. This test is synthetic, selected after earlier project outcomes, and shares the broader visual domain with prior work. “Not established” denotes a limit of assessed evidence, not proof of absence. The map remains a retrospective organizing proposal, not a validated hierarchy.</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