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Calibri" w:hAnsi="Calibri"/>
          <w:b/>
          <w:i w:val="0"/>
          <w:sz w:val="52"/>
        </w:rPr>
        <w:t>BUSINESS PROPOSAL</w:t>
      </w:r>
    </w:p>
    <w:p>
      <w:pPr>
        <w:spacing w:after="80" w:before="0"/>
        <w:jc w:val="center"/>
      </w:pPr>
      <w:r>
        <w:rPr>
          <w:rFonts w:ascii="Calibri" w:hAnsi="Calibri"/>
          <w:b/>
          <w:i w:val="0"/>
          <w:sz w:val="28"/>
        </w:rPr>
        <w:t>Network Infrastructure Deployment &amp; Capacity Building</w:t>
      </w:r>
    </w:p>
    <w:p>
      <w:pPr>
        <w:spacing w:after="360" w:before="0"/>
        <w:jc w:val="center"/>
      </w:pPr>
      <w:r>
        <w:rPr>
          <w:rFonts w:ascii="Calibri" w:hAnsi="Calibri"/>
          <w:b w:val="0"/>
          <w:i w:val="0"/>
          <w:sz w:val="24"/>
        </w:rPr>
        <w:t>Cooperative Republic of Guyana</w:t>
      </w:r>
    </w:p>
    <w:p>
      <w:pPr>
        <w:spacing w:after="40" w:before="0"/>
        <w:jc w:val="center"/>
      </w:pPr>
      <w:r>
        <w:rPr>
          <w:rFonts w:ascii="Calibri" w:hAnsi="Calibri"/>
          <w:b w:val="0"/>
          <w:i w:val="0"/>
          <w:sz w:val="22"/>
        </w:rPr>
        <w:t>Prepared by Finesse Technology Business Solutions, LLC (FTBS)</w:t>
      </w:r>
    </w:p>
    <w:p>
      <w:pPr>
        <w:spacing w:after="40" w:before="0"/>
        <w:jc w:val="center"/>
      </w:pPr>
      <w:r>
        <w:rPr>
          <w:rFonts w:ascii="Calibri" w:hAnsi="Calibri"/>
          <w:b w:val="0"/>
          <w:i w:val="0"/>
          <w:sz w:val="22"/>
        </w:rPr>
        <w:t>in partnership with BGW Construction Company (a division of FTBS)</w:t>
      </w:r>
    </w:p>
    <w:p>
      <w:pPr>
        <w:spacing w:after="280" w:before="0"/>
        <w:jc w:val="center"/>
      </w:pPr>
      <w:r>
        <w:rPr>
          <w:rFonts w:ascii="Calibri" w:hAnsi="Calibri"/>
          <w:b w:val="0"/>
          <w:i/>
          <w:sz w:val="20"/>
        </w:rPr>
        <w:t>and qualified Guyanese subcontractors and suppliers engaged for delivery</w:t>
      </w:r>
    </w:p>
    <w:p>
      <w:pPr>
        <w:spacing w:after="40" w:before="0"/>
        <w:jc w:val="center"/>
      </w:pPr>
      <w:r>
        <w:rPr>
          <w:rFonts w:ascii="Calibri" w:hAnsi="Calibri"/>
          <w:b w:val="0"/>
          <w:i w:val="0"/>
          <w:sz w:val="22"/>
        </w:rPr>
        <w:t>October 2026</w:t>
      </w:r>
    </w:p>
    <w:p>
      <w:pPr>
        <w:spacing w:after="320" w:before="0"/>
        <w:jc w:val="center"/>
      </w:pPr>
      <w:r>
        <w:rPr>
          <w:rFonts w:ascii="Calibri" w:hAnsi="Calibri"/>
          <w:b w:val="0"/>
          <w:i w:val="0"/>
          <w:sz w:val="20"/>
        </w:rPr>
        <w:t>Submitted to: Government of Guyana — relevant Ministry / Agency (to be designated)</w:t>
      </w:r>
    </w:p>
    <w:tbl>
      <w:tblPr>
        <w:tblW w:type="auto" w:w="0"/>
        <w:tblLook w:firstColumn="1" w:firstRow="1" w:lastColumn="0" w:lastRow="0" w:noHBand="0" w:noVBand="1" w:val="04A0"/>
      </w:tblPr>
      <w:tblGrid>
        <w:gridCol w:w="9360"/>
      </w:tblGrid>
      <w:tr>
        <w:tc>
          <w:tcPr>
            <w:tcW w:type="dxa" w:w="9360"/>
            <w:shd w:fill="FEF3C7" w:val="clear"/>
            <w:tcBorders>
              <w:top w:val="single" w:sz="4" w:space="0" w:color="94A3B8"/>
              <w:left w:val="single" w:sz="4" w:space="0" w:color="94A3B8"/>
              <w:bottom w:val="single" w:sz="4" w:space="0" w:color="94A3B8"/>
              <w:right w:val="single" w:sz="4" w:space="0" w:color="94A3B8"/>
            </w:tcBorders>
          </w:tcPr>
          <w:p>
            <w:r/>
            <w:r>
              <w:rPr>
                <w:rFonts w:ascii="Calibri" w:hAnsi="Calibri"/>
                <w:b/>
                <w:i w:val="0"/>
                <w:color w:val="0F172A"/>
                <w:sz w:val="22"/>
              </w:rPr>
              <w:t>Internal review note — delete before sending</w:t>
            </w:r>
          </w:p>
          <w:p>
            <w:pPr>
              <w:spacing w:after="40"/>
            </w:pPr>
            <w:r>
              <w:rPr>
                <w:rFonts w:ascii="Calibri" w:hAnsi="Calibri"/>
                <w:b w:val="0"/>
                <w:i w:val="0"/>
                <w:sz w:val="20"/>
              </w:rPr>
              <w:t>• Past performance uses only verified FTBS / leadership engagements — not sample website case studies.</w:t>
            </w:r>
          </w:p>
          <w:p>
            <w:pPr>
              <w:spacing w:after="40"/>
            </w:pPr>
            <w:r>
              <w:rPr>
                <w:rFonts w:ascii="Calibri" w:hAnsi="Calibri"/>
                <w:b w:val="0"/>
                <w:i w:val="0"/>
                <w:sz w:val="20"/>
              </w:rPr>
              <w:t>• Local workforce %, trainee headcounts, and job-creation figures await Phase 1 scoping (not invented).</w:t>
            </w:r>
          </w:p>
          <w:p>
            <w:pPr>
              <w:spacing w:after="40"/>
            </w:pPr>
            <w:r>
              <w:rPr>
                <w:rFonts w:ascii="Calibri" w:hAnsi="Calibri"/>
                <w:b w:val="0"/>
                <w:i w:val="0"/>
                <w:sz w:val="20"/>
              </w:rPr>
              <w:t>• Confirm recipient ministry/agency name before submission.</w:t>
            </w:r>
          </w:p>
          <w:p>
            <w:pPr>
              <w:spacing w:after="40"/>
            </w:pPr>
            <w:r>
              <w:rPr>
                <w:rFonts w:ascii="Calibri" w:hAnsi="Calibri"/>
                <w:b w:val="0"/>
                <w:i w:val="0"/>
                <w:sz w:val="20"/>
              </w:rPr>
              <w:t>• Add named Guyanese partner entity when under agreement.</w:t>
            </w:r>
          </w:p>
        </w:tc>
      </w:tr>
    </w:tbl>
    <w:p/>
    <w:p>
      <w:pPr>
        <w:spacing w:before="320" w:after="160"/>
      </w:pPr>
      <w:r>
        <w:rPr>
          <w:rFonts w:ascii="Calibri" w:hAnsi="Calibri"/>
          <w:b/>
          <w:i w:val="0"/>
          <w:color w:val="0F172A"/>
          <w:sz w:val="32"/>
        </w:rPr>
        <w:t>1.  Executive Summary</w:t>
      </w:r>
    </w:p>
    <w:p>
      <w:pPr>
        <w:spacing w:after="160" w:before="0"/>
      </w:pPr>
      <w:r>
        <w:rPr>
          <w:rFonts w:ascii="Calibri" w:hAnsi="Calibri"/>
          <w:b w:val="0"/>
          <w:i w:val="0"/>
          <w:sz w:val="22"/>
        </w:rPr>
        <w:t>Finesse Technology Business Solutions, LLC (FTBS) is pleased to submit this proposal to design, deploy, and maintain modern network infrastructure across a range of locations in the Cooperative Republic of Guyana. Through our BGW Construction Company division and in collaboration with qualified Guyanese partners, we combine U.S.-based network and IT infrastructure delivery experience with construction project discipline — and a personal commitment from leadership to build lasting local capability.</w:t>
      </w:r>
    </w:p>
    <w:p>
      <w:pPr>
        <w:spacing w:after="160" w:before="0"/>
      </w:pPr>
      <w:r>
        <w:rPr>
          <w:rFonts w:ascii="Calibri" w:hAnsi="Calibri"/>
          <w:b w:val="0"/>
          <w:i w:val="0"/>
          <w:sz w:val="22"/>
        </w:rPr>
        <w:t>Guyana is entering an era of rapid economic expansion and national development. Reliable, high-performance network infrastructure is the backbone of that growth — enabling government services, education, healthcare, commerce, and public safety. Our proposal is built on three commitments: (1) deliver infrastructure engineered to current U.S. and international codes and standards; (2) maximize the use of local labor, suppliers, and materials; and (3) train and mentor a new generation of Guyanese technical talent so that expertise remains and grows within the country long after deployment.</w:t>
      </w:r>
    </w:p>
    <w:tbl>
      <w:tblPr>
        <w:tblW w:type="auto" w:w="0"/>
        <w:tblLook w:firstColumn="1" w:firstRow="1" w:lastColumn="0" w:lastRow="0" w:noHBand="0" w:noVBand="1" w:val="04A0"/>
      </w:tblPr>
      <w:tblGrid>
        <w:gridCol w:w="9360"/>
      </w:tblGrid>
      <w:tr>
        <w:tc>
          <w:tcPr>
            <w:tcW w:type="dxa" w:w="9360"/>
            <w:shd w:fill="F1F5F9" w:val="clear"/>
            <w:tcBorders>
              <w:top w:val="single" w:sz="4" w:space="0" w:color="94A3B8"/>
              <w:left w:val="single" w:sz="4" w:space="0" w:color="94A3B8"/>
              <w:bottom w:val="single" w:sz="4" w:space="0" w:color="94A3B8"/>
              <w:right w:val="single" w:sz="4" w:space="0" w:color="94A3B8"/>
            </w:tcBorders>
          </w:tcPr>
          <w:p>
            <w:r/>
            <w:r>
              <w:rPr>
                <w:rFonts w:ascii="Calibri" w:hAnsi="Calibri"/>
                <w:b/>
                <w:i w:val="0"/>
                <w:color w:val="0F172A"/>
                <w:sz w:val="22"/>
              </w:rPr>
              <w:t>What we are proposing at a glance</w:t>
            </w:r>
          </w:p>
          <w:p>
            <w:pPr>
              <w:spacing w:after="40"/>
            </w:pPr>
            <w:r>
              <w:rPr>
                <w:rFonts w:ascii="Calibri" w:hAnsi="Calibri"/>
                <w:b w:val="0"/>
                <w:i w:val="0"/>
                <w:sz w:val="20"/>
              </w:rPr>
              <w:t>Scope: Design, deployment, and ongoing maintenance of network infrastructure for government, institutional, and community locations — site types and quantities to be confirmed in Phase 1 scoping.</w:t>
            </w:r>
          </w:p>
          <w:p>
            <w:pPr>
              <w:spacing w:after="40"/>
            </w:pPr>
            <w:r>
              <w:rPr>
                <w:rFonts w:ascii="Calibri" w:hAnsi="Calibri"/>
                <w:b w:val="0"/>
                <w:i w:val="0"/>
                <w:sz w:val="20"/>
              </w:rPr>
              <w:t>Standards: Built to the latest U.S. codes (NEC, TIA/EIA, BICSI practices) and applicable international standards.</w:t>
            </w:r>
          </w:p>
          <w:p>
            <w:pPr>
              <w:spacing w:after="40"/>
            </w:pPr>
            <w:r>
              <w:rPr>
                <w:rFonts w:ascii="Calibri" w:hAnsi="Calibri"/>
                <w:b w:val="0"/>
                <w:i w:val="0"/>
                <w:sz w:val="20"/>
              </w:rPr>
              <w:t>Local content: Priority hiring and sourcing within Guyana; majority local participation targeted for scaled rollout, with percentages confirmed during Phase 1.</w:t>
            </w:r>
          </w:p>
          <w:p>
            <w:pPr>
              <w:spacing w:after="40"/>
            </w:pPr>
            <w:r>
              <w:rPr>
                <w:rFonts w:ascii="Calibri" w:hAnsi="Calibri"/>
                <w:b w:val="0"/>
                <w:i w:val="0"/>
                <w:sz w:val="20"/>
              </w:rPr>
              <w:t>Capacity building: Structured coaching, certification pathways (fiber, vendor, BICSI-aligned), and knowledge transfer for Guyanese citizens.</w:t>
            </w:r>
          </w:p>
          <w:p>
            <w:pPr>
              <w:spacing w:after="40"/>
            </w:pPr>
            <w:r>
              <w:rPr>
                <w:rFonts w:ascii="Calibri" w:hAnsi="Calibri"/>
                <w:b w:val="0"/>
                <w:i w:val="0"/>
                <w:sz w:val="20"/>
              </w:rPr>
              <w:t>Technology stack: Cisco routers and switches, Cisco Meraki access points, structured copper/fiber cabling, and related power, grounding, and monitoring practices.</w:t>
            </w:r>
          </w:p>
        </w:tc>
      </w:tr>
    </w:tbl>
    <w:p/>
    <w:p>
      <w:pPr>
        <w:spacing w:before="320" w:after="160"/>
      </w:pPr>
      <w:r>
        <w:rPr>
          <w:rFonts w:ascii="Calibri" w:hAnsi="Calibri"/>
          <w:b/>
          <w:i w:val="0"/>
          <w:color w:val="0F172A"/>
          <w:sz w:val="32"/>
        </w:rPr>
        <w:t>2.  About Us &amp; Proven Track Record</w:t>
      </w:r>
    </w:p>
    <w:p>
      <w:pPr>
        <w:spacing w:after="160" w:before="0"/>
      </w:pPr>
      <w:r>
        <w:rPr>
          <w:rFonts w:ascii="Calibri" w:hAnsi="Calibri"/>
          <w:b w:val="0"/>
          <w:i w:val="0"/>
          <w:sz w:val="22"/>
        </w:rPr>
        <w:t>FTBS is a construction and technology services firm headquartered in Conyers, Georgia, USA (2274 Salem Rd SE Ste 106, Conyers, GA 30013). The company delivers IT infrastructure, technology consulting, and construction project management for government agencies, developers, and institutional partners. Website: https://ftbsllc.com.</w:t>
      </w:r>
    </w:p>
    <w:p>
      <w:pPr>
        <w:spacing w:after="160" w:before="0"/>
      </w:pPr>
      <w:r>
        <w:rPr>
          <w:rFonts w:ascii="Calibri" w:hAnsi="Calibri"/>
          <w:b w:val="0"/>
          <w:i w:val="0"/>
          <w:sz w:val="22"/>
        </w:rPr>
        <w:t>FTBS is led by Paul Gibbs, CEO of FTBS and President of BGW Construction Company. Leadership brings nearly a decade of hands-on IT, electrical, and network infrastructure experience across the United States — including field supervision, regional project management, technician training, and multi-site Cisco and Meraki deployments.</w:t>
      </w:r>
    </w:p>
    <w:p>
      <w:pPr>
        <w:spacing w:after="160" w:before="0"/>
      </w:pPr>
      <w:r>
        <w:rPr>
          <w:rFonts w:ascii="Calibri" w:hAnsi="Calibri"/>
          <w:b w:val="0"/>
          <w:i w:val="0"/>
          <w:sz w:val="22"/>
        </w:rPr>
        <w:t>BGW Construction Company is the construction division of FTBS, focused on roads, buildings, housing, and essential public works. Leadership’s stated mission includes returning home to contribute to national infrastructure development, community growth, and long-term progress — working collaboratively with local leaders, contractors, and government agencies.</w:t>
      </w:r>
    </w:p>
    <w:p>
      <w:pPr>
        <w:spacing w:before="240" w:after="160"/>
      </w:pPr>
      <w:r>
        <w:rPr>
          <w:rFonts w:ascii="Calibri" w:hAnsi="Calibri"/>
          <w:b/>
          <w:i w:val="0"/>
          <w:color w:val="1E293B"/>
          <w:sz w:val="26"/>
        </w:rPr>
        <w:t>Representative achievements</w:t>
      </w:r>
    </w:p>
    <w:p>
      <w:pPr>
        <w:spacing w:after="160" w:before="0"/>
      </w:pPr>
      <w:r>
        <w:rPr>
          <w:rFonts w:ascii="Calibri" w:hAnsi="Calibri"/>
          <w:b w:val="0"/>
          <w:i w:val="0"/>
          <w:sz w:val="22"/>
        </w:rPr>
        <w:t>The engagements below are drawn from verified leadership and company history:</w:t>
      </w:r>
    </w:p>
    <w:p>
      <w:pPr>
        <w:pStyle w:val="ListBullet"/>
        <w:spacing w:after="80"/>
      </w:pPr>
      <w:r>
        <w:rPr>
          <w:rFonts w:ascii="Calibri" w:hAnsi="Calibri"/>
          <w:b w:val="0"/>
          <w:i w:val="0"/>
          <w:sz w:val="22"/>
        </w:rPr>
        <w:t>QuikTrip Digital Media Upgrade — FTBS awarded contract for digital media upgrade program delivery.</w:t>
      </w:r>
    </w:p>
    <w:p>
      <w:pPr>
        <w:pStyle w:val="ListBullet"/>
        <w:spacing w:after="80"/>
      </w:pPr>
      <w:r>
        <w:rPr>
          <w:rFonts w:ascii="Calibri" w:hAnsi="Calibri"/>
          <w:b w:val="0"/>
          <w:i w:val="0"/>
          <w:sz w:val="22"/>
        </w:rPr>
        <w:t>Multi-site Cisco / Meraki programs — Deploy, maintain, and troubleshoot Cisco routers, switches, and Meraki access points nationwide for commercial and partner accounts, including Tesla and Jenkins Restorations multi-technician projects.</w:t>
      </w:r>
    </w:p>
    <w:p>
      <w:pPr>
        <w:pStyle w:val="ListBullet"/>
        <w:spacing w:after="80"/>
      </w:pPr>
      <w:r>
        <w:rPr>
          <w:rFonts w:ascii="Calibri" w:hAnsi="Calibri"/>
          <w:b w:val="0"/>
          <w:i w:val="0"/>
          <w:sz w:val="22"/>
        </w:rPr>
        <w:t>FTISS, LLC — Regional Project Manager (2017–2022) — Managed IT and electrical projects across Georgia and Florida; supervised field technicians; installed and maintained Cisco equipment; ran cabling and camera systems; Hillsborough County Public Schools registered contractor.</w:t>
      </w:r>
    </w:p>
    <w:p>
      <w:pPr>
        <w:pStyle w:val="ListBullet"/>
        <w:spacing w:after="80"/>
      </w:pPr>
      <w:r>
        <w:rPr>
          <w:rFonts w:ascii="Calibri" w:hAnsi="Calibri"/>
          <w:b w:val="0"/>
          <w:i w:val="0"/>
          <w:sz w:val="22"/>
        </w:rPr>
        <w:t>Field leadership since 2016 — IT technician, field supervisor, and project manager roles covering electrical and network installation, technician training, and national service accounts.</w:t>
      </w:r>
    </w:p>
    <w:p>
      <w:pPr>
        <w:spacing w:before="240" w:after="160"/>
      </w:pPr>
      <w:r>
        <w:rPr>
          <w:rFonts w:ascii="Calibri" w:hAnsi="Calibri"/>
          <w:b/>
          <w:i w:val="0"/>
          <w:color w:val="1E293B"/>
          <w:sz w:val="26"/>
        </w:rPr>
        <w:t>Capabilities summary</w:t>
      </w:r>
    </w:p>
    <w:tbl>
      <w:tblPr>
        <w:tblW w:type="auto" w:w="0"/>
        <w:tblLayout w:type="autofit"/>
        <w:tblLook w:firstColumn="1" w:firstRow="1" w:lastColumn="0" w:lastRow="0" w:noHBand="0" w:noVBand="1" w:val="04A0"/>
      </w:tblPr>
      <w:tblGrid>
        <w:gridCol w:w="4680"/>
        <w:gridCol w:w="4680"/>
      </w:tblGrid>
      <w:tr>
        <w:tc>
          <w:tcPr>
            <w:tcW w:type="dxa" w:w="4680"/>
            <w:shd w:fill="0F172A" w:val="clear"/>
            <w:tcBorders>
              <w:top w:val="single" w:sz="4" w:space="0" w:color="94A3B8"/>
              <w:left w:val="single" w:sz="4" w:space="0" w:color="94A3B8"/>
              <w:bottom w:val="single" w:sz="4" w:space="0" w:color="94A3B8"/>
              <w:right w:val="single" w:sz="4" w:space="0" w:color="94A3B8"/>
            </w:tcBorders>
          </w:tcPr>
          <w:p>
            <w:r/>
            <w:r>
              <w:rPr>
                <w:rFonts w:ascii="Calibri" w:hAnsi="Calibri"/>
                <w:b/>
                <w:i w:val="0"/>
                <w:color w:val="FFFFFF"/>
                <w:sz w:val="20"/>
              </w:rPr>
              <w:t>Capability</w:t>
            </w:r>
          </w:p>
        </w:tc>
        <w:tc>
          <w:tcPr>
            <w:tcW w:type="dxa" w:w="4680"/>
            <w:shd w:fill="0F172A" w:val="clear"/>
            <w:tcBorders>
              <w:top w:val="single" w:sz="4" w:space="0" w:color="94A3B8"/>
              <w:left w:val="single" w:sz="4" w:space="0" w:color="94A3B8"/>
              <w:bottom w:val="single" w:sz="4" w:space="0" w:color="94A3B8"/>
              <w:right w:val="single" w:sz="4" w:space="0" w:color="94A3B8"/>
            </w:tcBorders>
          </w:tcPr>
          <w:p>
            <w:r/>
            <w:r>
              <w:rPr>
                <w:rFonts w:ascii="Calibri" w:hAnsi="Calibri"/>
                <w:b/>
                <w:i w:val="0"/>
                <w:color w:val="FFFFFF"/>
                <w:sz w:val="20"/>
              </w:rPr>
              <w:t>What we deliver</w:t>
            </w:r>
          </w:p>
        </w:tc>
      </w:tr>
      <w:tr>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Structured cabling &amp; fiber</w:t>
            </w:r>
          </w:p>
        </w:tc>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Copper and single/multimode fiber plant, backbone and horizontal, tested and documented to standard</w:t>
            </w:r>
          </w:p>
        </w:tc>
      </w:tr>
      <w:tr>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Wireless &amp; access networks</w:t>
            </w:r>
          </w:p>
        </w:tc>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Wi-Fi (including Cisco Meraki access points), point-to-point / multipoint where required, and last-mile connectivity</w:t>
            </w:r>
          </w:p>
        </w:tc>
      </w:tr>
      <w:tr>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Core &amp; edge networking</w:t>
            </w:r>
          </w:p>
        </w:tc>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Cisco routing and switching, segmentation, and practical network security architecture</w:t>
            </w:r>
          </w:p>
        </w:tc>
      </w:tr>
      <w:tr>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Data center &amp; power</w:t>
            </w:r>
          </w:p>
        </w:tc>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Racks, UPS/backup power coordination, grounding and bonding practices aligned with electrical safety codes</w:t>
            </w:r>
          </w:p>
        </w:tc>
      </w:tr>
      <w:tr>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Construction-enabled delivery</w:t>
            </w:r>
          </w:p>
        </w:tc>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Through BGW: site coordination, pathways, power readiness, and project controls that keep network builds on schedule</w:t>
            </w:r>
          </w:p>
        </w:tc>
      </w:tr>
      <w:tr>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Operations &amp; maintenance</w:t>
            </w:r>
          </w:p>
        </w:tc>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Monitoring, preventive maintenance, defined support response, and progressive transfer to local teams</w:t>
            </w:r>
          </w:p>
        </w:tc>
      </w:tr>
    </w:tbl>
    <w:p/>
    <w:p>
      <w:pPr>
        <w:spacing w:before="320" w:after="160"/>
      </w:pPr>
      <w:r>
        <w:rPr>
          <w:rFonts w:ascii="Calibri" w:hAnsi="Calibri"/>
          <w:b/>
          <w:i w:val="0"/>
          <w:color w:val="0F172A"/>
          <w:sz w:val="32"/>
        </w:rPr>
        <w:t>3.  Our Understanding of Guyana's Opportunity</w:t>
      </w:r>
    </w:p>
    <w:p>
      <w:pPr>
        <w:spacing w:after="160" w:before="0"/>
      </w:pPr>
      <w:r>
        <w:rPr>
          <w:rFonts w:ascii="Calibri" w:hAnsi="Calibri"/>
          <w:b w:val="0"/>
          <w:i w:val="0"/>
          <w:sz w:val="22"/>
        </w:rPr>
        <w:t>Guyana's growth is driving demand for robust connectivity across urban centers, the interior, and coastal communities alike. We recognize the practical realities of deploying infrastructure here: varied terrain and climate, the need for resilient designs, dependable power, and solutions that can be operated and maintained locally.</w:t>
      </w:r>
    </w:p>
    <w:p>
      <w:pPr>
        <w:spacing w:after="160" w:before="0"/>
      </w:pPr>
      <w:r>
        <w:rPr>
          <w:rFonts w:ascii="Calibri" w:hAnsi="Calibri"/>
          <w:b w:val="0"/>
          <w:i w:val="0"/>
          <w:sz w:val="22"/>
        </w:rPr>
        <w:t>Our approach is designed for these conditions — hardened, standards-based builds paired with local teams who understand the environment and will keep systems running for the long term. We see this not as a single deliverable but as a durable partnership with the people and institutions of Guyana.</w:t>
      </w:r>
    </w:p>
    <w:p>
      <w:pPr>
        <w:spacing w:after="160" w:before="0"/>
      </w:pPr>
      <w:r>
        <w:rPr>
          <w:rFonts w:ascii="Calibri" w:hAnsi="Calibri"/>
          <w:b w:val="0"/>
          <w:i w:val="0"/>
          <w:sz w:val="22"/>
        </w:rPr>
        <w:t>FTBS and BGW are prepared to work collaboratively with Guyanese ministries, agencies, technical institutes, and qualified local firms so that investment, skills, and operational ownership take root in-country.</w:t>
      </w:r>
    </w:p>
    <w:p>
      <w:pPr>
        <w:spacing w:before="320" w:after="160"/>
      </w:pPr>
      <w:r>
        <w:rPr>
          <w:rFonts w:ascii="Calibri" w:hAnsi="Calibri"/>
          <w:b/>
          <w:i w:val="0"/>
          <w:color w:val="0F172A"/>
          <w:sz w:val="32"/>
        </w:rPr>
        <w:t>4.  Scope of Services &amp; Delivery Approach</w:t>
      </w:r>
    </w:p>
    <w:p>
      <w:pPr>
        <w:spacing w:before="240" w:after="160"/>
      </w:pPr>
      <w:r>
        <w:rPr>
          <w:rFonts w:ascii="Calibri" w:hAnsi="Calibri"/>
          <w:b/>
          <w:i w:val="0"/>
          <w:color w:val="1E293B"/>
          <w:sz w:val="26"/>
        </w:rPr>
        <w:t>Services offered</w:t>
      </w:r>
    </w:p>
    <w:p>
      <w:pPr>
        <w:pStyle w:val="ListBullet"/>
        <w:spacing w:after="80"/>
      </w:pPr>
      <w:r>
        <w:rPr>
          <w:rFonts w:ascii="Calibri" w:hAnsi="Calibri"/>
          <w:b w:val="0"/>
          <w:i w:val="0"/>
          <w:sz w:val="22"/>
        </w:rPr>
        <w:t>Site assessment and design: surveys, network architecture, and engineered drawings for each location</w:t>
      </w:r>
    </w:p>
    <w:p>
      <w:pPr>
        <w:pStyle w:val="ListBullet"/>
        <w:spacing w:after="80"/>
      </w:pPr>
      <w:r>
        <w:rPr>
          <w:rFonts w:ascii="Calibri" w:hAnsi="Calibri"/>
          <w:b w:val="0"/>
          <w:i w:val="0"/>
          <w:sz w:val="22"/>
        </w:rPr>
        <w:t>Procurement and logistics: Cisco, Meraki, cabling, and related materials sourced with a local-first policy where feasible</w:t>
      </w:r>
    </w:p>
    <w:p>
      <w:pPr>
        <w:pStyle w:val="ListBullet"/>
        <w:spacing w:after="80"/>
      </w:pPr>
      <w:r>
        <w:rPr>
          <w:rFonts w:ascii="Calibri" w:hAnsi="Calibri"/>
          <w:b w:val="0"/>
          <w:i w:val="0"/>
          <w:sz w:val="22"/>
        </w:rPr>
        <w:t>Deployment and installation: cabling, equipment, power coordination, and commissioning by qualified crews</w:t>
      </w:r>
    </w:p>
    <w:p>
      <w:pPr>
        <w:pStyle w:val="ListBullet"/>
        <w:spacing w:after="80"/>
      </w:pPr>
      <w:r>
        <w:rPr>
          <w:rFonts w:ascii="Calibri" w:hAnsi="Calibri"/>
          <w:b w:val="0"/>
          <w:i w:val="0"/>
          <w:sz w:val="22"/>
        </w:rPr>
        <w:t>Testing and certification: every install tested and documented against the governing standard</w:t>
      </w:r>
    </w:p>
    <w:p>
      <w:pPr>
        <w:pStyle w:val="ListBullet"/>
        <w:spacing w:after="80"/>
      </w:pPr>
      <w:r>
        <w:rPr>
          <w:rFonts w:ascii="Calibri" w:hAnsi="Calibri"/>
          <w:b w:val="0"/>
          <w:i w:val="0"/>
          <w:sz w:val="22"/>
        </w:rPr>
        <w:t>Maintenance and support: monitoring, preventive maintenance, and defined service levels</w:t>
      </w:r>
    </w:p>
    <w:p>
      <w:pPr>
        <w:pStyle w:val="ListBullet"/>
        <w:spacing w:after="80"/>
      </w:pPr>
      <w:r>
        <w:rPr>
          <w:rFonts w:ascii="Calibri" w:hAnsi="Calibri"/>
          <w:b w:val="0"/>
          <w:i w:val="0"/>
          <w:sz w:val="22"/>
        </w:rPr>
        <w:t>Project controls: schedule, budget, subcontractor coordination, and executive-ready reporting (FTBS construction PM practice)</w:t>
      </w:r>
    </w:p>
    <w:p>
      <w:pPr>
        <w:spacing w:before="240" w:after="160"/>
      </w:pPr>
      <w:r>
        <w:rPr>
          <w:rFonts w:ascii="Calibri" w:hAnsi="Calibri"/>
          <w:b/>
          <w:i w:val="0"/>
          <w:color w:val="1E293B"/>
          <w:sz w:val="26"/>
        </w:rPr>
        <w:t>Phased delivery</w:t>
      </w:r>
    </w:p>
    <w:p>
      <w:pPr>
        <w:pStyle w:val="ListBullet"/>
        <w:spacing w:after="80"/>
      </w:pPr>
      <w:r>
        <w:rPr>
          <w:rFonts w:ascii="Calibri" w:hAnsi="Calibri"/>
          <w:b w:val="0"/>
          <w:i w:val="0"/>
          <w:sz w:val="22"/>
        </w:rPr>
        <w:t>Phase 1 — Assess &amp; Design. Site surveys, requirements, and engineered designs for an agreed initial set of sites (ministry/agency locations to be confirmed).</w:t>
      </w:r>
    </w:p>
    <w:p>
      <w:pPr>
        <w:pStyle w:val="ListBullet"/>
        <w:spacing w:after="80"/>
      </w:pPr>
      <w:r>
        <w:rPr>
          <w:rFonts w:ascii="Calibri" w:hAnsi="Calibri"/>
          <w:b w:val="0"/>
          <w:i w:val="0"/>
          <w:sz w:val="22"/>
        </w:rPr>
        <w:t>Phase 2 — Pilot Deployment. Build and validate a representative site to confirm design, standards, local labor model, and documentation package.</w:t>
      </w:r>
    </w:p>
    <w:p>
      <w:pPr>
        <w:pStyle w:val="ListBullet"/>
        <w:spacing w:after="80"/>
      </w:pPr>
      <w:r>
        <w:rPr>
          <w:rFonts w:ascii="Calibri" w:hAnsi="Calibri"/>
          <w:b w:val="0"/>
          <w:i w:val="0"/>
          <w:sz w:val="22"/>
        </w:rPr>
        <w:t>Phase 3 — Scaled Rollout. Deploy across remaining locations with majority Guyanese crews and suppliers.</w:t>
      </w:r>
    </w:p>
    <w:p>
      <w:pPr>
        <w:pStyle w:val="ListBullet"/>
        <w:spacing w:after="80"/>
      </w:pPr>
      <w:r>
        <w:rPr>
          <w:rFonts w:ascii="Calibri" w:hAnsi="Calibri"/>
          <w:b w:val="0"/>
          <w:i w:val="0"/>
          <w:sz w:val="22"/>
        </w:rPr>
        <w:t>Phase 4 — Operate &amp; Transfer. Ongoing operations and maintenance while progressively transferring operations to trained local teams.</w:t>
      </w:r>
    </w:p>
    <w:p>
      <w:pPr>
        <w:spacing w:before="320" w:after="160"/>
      </w:pPr>
      <w:r>
        <w:rPr>
          <w:rFonts w:ascii="Calibri" w:hAnsi="Calibri"/>
          <w:b/>
          <w:i w:val="0"/>
          <w:color w:val="0F172A"/>
          <w:sz w:val="32"/>
        </w:rPr>
        <w:t>5.  Standards, Codes &amp; Quality Assurance</w:t>
      </w:r>
    </w:p>
    <w:p>
      <w:pPr>
        <w:spacing w:after="160" w:before="0"/>
      </w:pPr>
      <w:r>
        <w:rPr>
          <w:rFonts w:ascii="Calibri" w:hAnsi="Calibri"/>
          <w:b w:val="0"/>
          <w:i w:val="0"/>
          <w:sz w:val="22"/>
        </w:rPr>
        <w:t>We build to the latest applicable U.S. and international codes and standards, and we harmonize them with Guyana's national requirements. Every deployment is documented, tested, and certified — giving government stakeholders confidence in safety, performance, and longevity.</w:t>
      </w:r>
    </w:p>
    <w:tbl>
      <w:tblPr>
        <w:tblW w:type="auto" w:w="0"/>
        <w:tblLayout w:type="autofit"/>
        <w:tblLook w:firstColumn="1" w:firstRow="1" w:lastColumn="0" w:lastRow="0" w:noHBand="0" w:noVBand="1" w:val="04A0"/>
      </w:tblPr>
      <w:tblGrid>
        <w:gridCol w:w="4680"/>
        <w:gridCol w:w="4680"/>
      </w:tblGrid>
      <w:tr>
        <w:tc>
          <w:tcPr>
            <w:tcW w:type="dxa" w:w="4680"/>
            <w:shd w:fill="0F172A" w:val="clear"/>
            <w:tcBorders>
              <w:top w:val="single" w:sz="4" w:space="0" w:color="94A3B8"/>
              <w:left w:val="single" w:sz="4" w:space="0" w:color="94A3B8"/>
              <w:bottom w:val="single" w:sz="4" w:space="0" w:color="94A3B8"/>
              <w:right w:val="single" w:sz="4" w:space="0" w:color="94A3B8"/>
            </w:tcBorders>
          </w:tcPr>
          <w:p>
            <w:r/>
            <w:r>
              <w:rPr>
                <w:rFonts w:ascii="Calibri" w:hAnsi="Calibri"/>
                <w:b/>
                <w:i w:val="0"/>
                <w:color w:val="FFFFFF"/>
                <w:sz w:val="20"/>
              </w:rPr>
              <w:t>Standard / Code</w:t>
            </w:r>
          </w:p>
        </w:tc>
        <w:tc>
          <w:tcPr>
            <w:tcW w:type="dxa" w:w="4680"/>
            <w:shd w:fill="0F172A" w:val="clear"/>
            <w:tcBorders>
              <w:top w:val="single" w:sz="4" w:space="0" w:color="94A3B8"/>
              <w:left w:val="single" w:sz="4" w:space="0" w:color="94A3B8"/>
              <w:bottom w:val="single" w:sz="4" w:space="0" w:color="94A3B8"/>
              <w:right w:val="single" w:sz="4" w:space="0" w:color="94A3B8"/>
            </w:tcBorders>
          </w:tcPr>
          <w:p>
            <w:r/>
            <w:r>
              <w:rPr>
                <w:rFonts w:ascii="Calibri" w:hAnsi="Calibri"/>
                <w:b/>
                <w:i w:val="0"/>
                <w:color w:val="FFFFFF"/>
                <w:sz w:val="20"/>
              </w:rPr>
              <w:t>Application</w:t>
            </w:r>
          </w:p>
        </w:tc>
      </w:tr>
      <w:tr>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ANSI/TIA-568, -569, -606, -607</w:t>
            </w:r>
          </w:p>
        </w:tc>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Structured cabling, pathways/spaces, administration, grounding/bonding</w:t>
            </w:r>
          </w:p>
        </w:tc>
      </w:tr>
      <w:tr>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BICSI TDMM / installation practices</w:t>
            </w:r>
          </w:p>
        </w:tc>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Design and installation best practices for telecommunications</w:t>
            </w:r>
          </w:p>
        </w:tc>
      </w:tr>
      <w:tr>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NEC (NFPA 70)</w:t>
            </w:r>
          </w:p>
        </w:tc>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Electrical safety for power, bonding, and grounding</w:t>
            </w:r>
          </w:p>
        </w:tc>
      </w:tr>
      <w:tr>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ISO/IEC 11801</w:t>
            </w:r>
          </w:p>
        </w:tc>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International generic cabling standard for alignment</w:t>
            </w:r>
          </w:p>
        </w:tc>
      </w:tr>
      <w:tr>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IEEE 802 family</w:t>
            </w:r>
          </w:p>
        </w:tc>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Ethernet and wireless LAN interoperability</w:t>
            </w:r>
          </w:p>
        </w:tc>
      </w:tr>
      <w:tr>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Vendor practices (Cisco / Meraki)</w:t>
            </w:r>
          </w:p>
        </w:tc>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Configuration, WLAN design, and support practices consistent with manufacturer guidance</w:t>
            </w:r>
          </w:p>
        </w:tc>
      </w:tr>
      <w:tr>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Local Guyanese codes &amp; permits</w:t>
            </w:r>
          </w:p>
        </w:tc>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Compliance with applicable Guyana telecommunications, electrical, building, and permit requirements as confirmed during permitting</w:t>
            </w:r>
          </w:p>
        </w:tc>
      </w:tr>
    </w:tbl>
    <w:p/>
    <w:tbl>
      <w:tblPr>
        <w:tblW w:type="auto" w:w="0"/>
        <w:tblLook w:firstColumn="1" w:firstRow="1" w:lastColumn="0" w:lastRow="0" w:noHBand="0" w:noVBand="1" w:val="04A0"/>
      </w:tblPr>
      <w:tblGrid>
        <w:gridCol w:w="9360"/>
      </w:tblGrid>
      <w:tr>
        <w:tc>
          <w:tcPr>
            <w:tcW w:type="dxa" w:w="9360"/>
            <w:shd w:fill="F1F5F9" w:val="clear"/>
            <w:tcBorders>
              <w:top w:val="single" w:sz="4" w:space="0" w:color="94A3B8"/>
              <w:left w:val="single" w:sz="4" w:space="0" w:color="94A3B8"/>
              <w:bottom w:val="single" w:sz="4" w:space="0" w:color="94A3B8"/>
              <w:right w:val="single" w:sz="4" w:space="0" w:color="94A3B8"/>
            </w:tcBorders>
          </w:tcPr>
          <w:p>
            <w:r/>
            <w:r>
              <w:rPr>
                <w:rFonts w:ascii="Calibri" w:hAnsi="Calibri"/>
                <w:b/>
                <w:i w:val="0"/>
                <w:color w:val="0F172A"/>
                <w:sz w:val="22"/>
              </w:rPr>
              <w:t>Quality assurance</w:t>
            </w:r>
          </w:p>
          <w:p>
            <w:pPr>
              <w:spacing w:after="40"/>
            </w:pPr>
            <w:r>
              <w:rPr>
                <w:rFonts w:ascii="Calibri" w:hAnsi="Calibri"/>
                <w:b w:val="0"/>
                <w:i w:val="0"/>
                <w:sz w:val="20"/>
              </w:rPr>
              <w:t>• Independent testing and documentation of cabling and network segments.</w:t>
            </w:r>
          </w:p>
          <w:p>
            <w:pPr>
              <w:spacing w:after="40"/>
            </w:pPr>
            <w:r>
              <w:rPr>
                <w:rFonts w:ascii="Calibri" w:hAnsi="Calibri"/>
                <w:b w:val="0"/>
                <w:i w:val="0"/>
                <w:sz w:val="20"/>
              </w:rPr>
              <w:t>• As-built documentation, labeling, and warranty registration for installations.</w:t>
            </w:r>
          </w:p>
          <w:p>
            <w:pPr>
              <w:spacing w:after="40"/>
            </w:pPr>
            <w:r>
              <w:rPr>
                <w:rFonts w:ascii="Calibri" w:hAnsi="Calibri"/>
                <w:b w:val="0"/>
                <w:i w:val="0"/>
                <w:sz w:val="20"/>
              </w:rPr>
              <w:t>• Safety-first field practices; BGW leadership holds OSHA 10 Construction Safety certification.</w:t>
            </w:r>
          </w:p>
          <w:p>
            <w:pPr>
              <w:spacing w:after="40"/>
            </w:pPr>
            <w:r>
              <w:rPr>
                <w:rFonts w:ascii="Calibri" w:hAnsi="Calibri"/>
                <w:b w:val="0"/>
                <w:i w:val="0"/>
                <w:sz w:val="20"/>
              </w:rPr>
              <w:t>• Leadership also holds EPA HVAC Type 1 &amp; 2 and Certified Pool Operator credentials supporting facilities-related coordination where relevant.</w:t>
            </w:r>
          </w:p>
        </w:tc>
      </w:tr>
    </w:tbl>
    <w:p/>
    <w:p>
      <w:pPr>
        <w:spacing w:before="320" w:after="160"/>
      </w:pPr>
      <w:r>
        <w:rPr>
          <w:rFonts w:ascii="Calibri" w:hAnsi="Calibri"/>
          <w:b/>
          <w:i w:val="0"/>
          <w:color w:val="0F172A"/>
          <w:sz w:val="32"/>
        </w:rPr>
        <w:t>6.  Local Resource Utilization</w:t>
      </w:r>
    </w:p>
    <w:p>
      <w:pPr>
        <w:spacing w:after="160" w:before="0"/>
      </w:pPr>
      <w:r>
        <w:rPr>
          <w:rFonts w:ascii="Calibri" w:hAnsi="Calibri"/>
          <w:b w:val="0"/>
          <w:i w:val="0"/>
          <w:sz w:val="22"/>
        </w:rPr>
        <w:t>Sustainable infrastructure is built by, and for, the people who will use it. We commit to a local-first model that keeps investment, jobs, and economic value inside Guyana.</w:t>
      </w:r>
    </w:p>
    <w:p>
      <w:pPr>
        <w:pStyle w:val="ListBullet"/>
        <w:spacing w:after="80"/>
      </w:pPr>
      <w:r>
        <w:rPr>
          <w:rFonts w:ascii="Calibri" w:hAnsi="Calibri"/>
          <w:b w:val="0"/>
          <w:i w:val="0"/>
          <w:sz w:val="22"/>
        </w:rPr>
        <w:t>Local hiring: priority recruitment of Guyanese technicians, engineers, and project staff. Target: majority local workforce on Phase 3 scaled rollout (exact percentage confirmed in Phase 1 scoping with the agency).</w:t>
      </w:r>
    </w:p>
    <w:p>
      <w:pPr>
        <w:pStyle w:val="ListBullet"/>
        <w:spacing w:after="80"/>
      </w:pPr>
      <w:r>
        <w:rPr>
          <w:rFonts w:ascii="Calibri" w:hAnsi="Calibri"/>
          <w:b w:val="0"/>
          <w:i w:val="0"/>
          <w:sz w:val="22"/>
        </w:rPr>
        <w:t>Local suppliers: sourcing materials, equipment staging, and services from Guyanese businesses wherever quality and availability allow.</w:t>
      </w:r>
    </w:p>
    <w:p>
      <w:pPr>
        <w:pStyle w:val="ListBullet"/>
        <w:spacing w:after="80"/>
      </w:pPr>
      <w:r>
        <w:rPr>
          <w:rFonts w:ascii="Calibri" w:hAnsi="Calibri"/>
          <w:b w:val="0"/>
          <w:i w:val="0"/>
          <w:sz w:val="22"/>
        </w:rPr>
        <w:t>Local subcontractors: partnering with qualified Guyanese firms to expand delivery capacity under FTBS/BGW project controls.</w:t>
      </w:r>
    </w:p>
    <w:p>
      <w:pPr>
        <w:pStyle w:val="ListBullet"/>
        <w:spacing w:after="80"/>
      </w:pPr>
      <w:r>
        <w:rPr>
          <w:rFonts w:ascii="Calibri" w:hAnsi="Calibri"/>
          <w:b w:val="0"/>
          <w:i w:val="0"/>
          <w:sz w:val="22"/>
        </w:rPr>
        <w:t>Economic impact: direct and indirect job estimates will be modeled against the agreed site list and published in the detailed Phase 1 proposal — we will not claim figures until scope is fixed.</w:t>
      </w:r>
    </w:p>
    <w:p>
      <w:pPr>
        <w:spacing w:before="320" w:after="160"/>
      </w:pPr>
      <w:r>
        <w:rPr>
          <w:rFonts w:ascii="Calibri" w:hAnsi="Calibri"/>
          <w:b/>
          <w:i w:val="0"/>
          <w:color w:val="0F172A"/>
          <w:sz w:val="32"/>
        </w:rPr>
        <w:t>7.  Coaching, Training &amp; the Next Generation</w:t>
      </w:r>
    </w:p>
    <w:p>
      <w:pPr>
        <w:spacing w:after="160" w:before="0"/>
      </w:pPr>
      <w:r>
        <w:rPr>
          <w:rFonts w:ascii="Calibri" w:hAnsi="Calibri"/>
          <w:b w:val="0"/>
          <w:i w:val="0"/>
          <w:sz w:val="22"/>
        </w:rPr>
        <w:t>Our most important commitment is to people. FTBS leadership has a proven practice of training technicians in the field. We will invest in Guyanese citizens through structured coaching, formal training, and hands-on mentorship — so the skills to design, build, and maintain modern networks take root and grow within the country.</w:t>
      </w:r>
    </w:p>
    <w:p>
      <w:pPr>
        <w:spacing w:before="240" w:after="160"/>
      </w:pPr>
      <w:r>
        <w:rPr>
          <w:rFonts w:ascii="Calibri" w:hAnsi="Calibri"/>
          <w:b/>
          <w:i w:val="0"/>
          <w:color w:val="1E293B"/>
          <w:sz w:val="26"/>
        </w:rPr>
        <w:t>A structured capacity-building program</w:t>
      </w:r>
    </w:p>
    <w:p>
      <w:pPr>
        <w:pStyle w:val="ListBullet"/>
        <w:spacing w:after="80"/>
      </w:pPr>
      <w:r>
        <w:rPr>
          <w:rFonts w:ascii="Calibri" w:hAnsi="Calibri"/>
          <w:b w:val="0"/>
          <w:i w:val="0"/>
          <w:sz w:val="22"/>
        </w:rPr>
        <w:t>Apprenticeship &amp; on-the-job training: Guyanese trainees work alongside senior engineers and technicians on live deployments.</w:t>
      </w:r>
    </w:p>
    <w:p>
      <w:pPr>
        <w:pStyle w:val="ListBullet"/>
        <w:spacing w:after="80"/>
      </w:pPr>
      <w:r>
        <w:rPr>
          <w:rFonts w:ascii="Calibri" w:hAnsi="Calibri"/>
          <w:b w:val="0"/>
          <w:i w:val="0"/>
          <w:sz w:val="22"/>
        </w:rPr>
        <w:t>Certification pathways: support toward recognized credentials (fiber-optic, Cisco/Meraki vendor certifications, and BICSI-aligned practices).</w:t>
      </w:r>
    </w:p>
    <w:p>
      <w:pPr>
        <w:pStyle w:val="ListBullet"/>
        <w:spacing w:after="80"/>
      </w:pPr>
      <w:r>
        <w:rPr>
          <w:rFonts w:ascii="Calibri" w:hAnsi="Calibri"/>
          <w:b w:val="0"/>
          <w:i w:val="0"/>
          <w:sz w:val="22"/>
        </w:rPr>
        <w:t>Train-the-trainer: developing local instructors so knowledge multiplies beyond our teams.</w:t>
      </w:r>
    </w:p>
    <w:p>
      <w:pPr>
        <w:pStyle w:val="ListBullet"/>
        <w:spacing w:after="80"/>
      </w:pPr>
      <w:r>
        <w:rPr>
          <w:rFonts w:ascii="Calibri" w:hAnsi="Calibri"/>
          <w:b w:val="0"/>
          <w:i w:val="0"/>
          <w:sz w:val="22"/>
        </w:rPr>
        <w:t>Youth &amp; education outreach: partnerships with technical institutes and the University of Guyana (and other schools as agreed) to build the talent pipeline.</w:t>
      </w:r>
    </w:p>
    <w:p>
      <w:pPr>
        <w:pStyle w:val="ListBullet"/>
        <w:spacing w:after="80"/>
      </w:pPr>
      <w:r>
        <w:rPr>
          <w:rFonts w:ascii="Calibri" w:hAnsi="Calibri"/>
          <w:b w:val="0"/>
          <w:i w:val="0"/>
          <w:sz w:val="22"/>
        </w:rPr>
        <w:t>Knowledge transfer &amp; handover: full documentation and operations training so local teams can independently run and grow the network.</w:t>
      </w:r>
    </w:p>
    <w:p>
      <w:pPr>
        <w:spacing w:before="240" w:after="160"/>
      </w:pPr>
      <w:r>
        <w:rPr>
          <w:rFonts w:ascii="Calibri" w:hAnsi="Calibri"/>
          <w:b/>
          <w:i w:val="0"/>
          <w:color w:val="1E293B"/>
          <w:sz w:val="26"/>
        </w:rPr>
        <w:t>Illustrative training milestones</w:t>
      </w:r>
    </w:p>
    <w:p>
      <w:pPr>
        <w:spacing w:after="160" w:before="0"/>
      </w:pPr>
      <w:r>
        <w:rPr>
          <w:rFonts w:ascii="Calibri" w:hAnsi="Calibri"/>
          <w:b w:val="0"/>
          <w:i w:val="0"/>
          <w:sz w:val="22"/>
        </w:rPr>
        <w:t>Targets below will be finalized with the agency during Phase 1 (illustrative framework only):</w:t>
      </w:r>
    </w:p>
    <w:tbl>
      <w:tblPr>
        <w:tblW w:type="auto" w:w="0"/>
        <w:tblLayout w:type="autofit"/>
        <w:tblLook w:firstColumn="1" w:firstRow="1" w:lastColumn="0" w:lastRow="0" w:noHBand="0" w:noVBand="1" w:val="04A0"/>
      </w:tblPr>
      <w:tblGrid>
        <w:gridCol w:w="4680"/>
        <w:gridCol w:w="4680"/>
      </w:tblGrid>
      <w:tr>
        <w:tc>
          <w:tcPr>
            <w:tcW w:type="dxa" w:w="4680"/>
            <w:shd w:fill="0F172A" w:val="clear"/>
            <w:tcBorders>
              <w:top w:val="single" w:sz="4" w:space="0" w:color="94A3B8"/>
              <w:left w:val="single" w:sz="4" w:space="0" w:color="94A3B8"/>
              <w:bottom w:val="single" w:sz="4" w:space="0" w:color="94A3B8"/>
              <w:right w:val="single" w:sz="4" w:space="0" w:color="94A3B8"/>
            </w:tcBorders>
          </w:tcPr>
          <w:p>
            <w:r/>
            <w:r>
              <w:rPr>
                <w:rFonts w:ascii="Calibri" w:hAnsi="Calibri"/>
                <w:b/>
                <w:i w:val="0"/>
                <w:color w:val="FFFFFF"/>
                <w:sz w:val="20"/>
              </w:rPr>
              <w:t>Milestone</w:t>
            </w:r>
          </w:p>
        </w:tc>
        <w:tc>
          <w:tcPr>
            <w:tcW w:type="dxa" w:w="4680"/>
            <w:shd w:fill="0F172A" w:val="clear"/>
            <w:tcBorders>
              <w:top w:val="single" w:sz="4" w:space="0" w:color="94A3B8"/>
              <w:left w:val="single" w:sz="4" w:space="0" w:color="94A3B8"/>
              <w:bottom w:val="single" w:sz="4" w:space="0" w:color="94A3B8"/>
              <w:right w:val="single" w:sz="4" w:space="0" w:color="94A3B8"/>
            </w:tcBorders>
          </w:tcPr>
          <w:p>
            <w:r/>
            <w:r>
              <w:rPr>
                <w:rFonts w:ascii="Calibri" w:hAnsi="Calibri"/>
                <w:b/>
                <w:i w:val="0"/>
                <w:color w:val="FFFFFF"/>
                <w:sz w:val="20"/>
              </w:rPr>
              <w:t>Target</w:t>
            </w:r>
          </w:p>
        </w:tc>
      </w:tr>
      <w:tr>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Trainees enrolled</w:t>
            </w:r>
          </w:p>
        </w:tc>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To be set in Phase 1 against pilot site staffing plan (Year 1)</w:t>
            </w:r>
          </w:p>
        </w:tc>
      </w:tr>
      <w:tr>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Certifications achieved</w:t>
            </w:r>
          </w:p>
        </w:tc>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Industry and vendor certifications aligned to deployed technologies</w:t>
            </w:r>
          </w:p>
        </w:tc>
      </w:tr>
      <w:tr>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Local instructors developed</w:t>
            </w:r>
          </w:p>
        </w:tc>
        <w:tc>
          <w:tcPr>
            <w:tcW w:type="dxa" w:w="4680"/>
            <w:tcBorders>
              <w:top w:val="single" w:sz="4" w:space="0" w:color="94A3B8"/>
              <w:left w:val="single" w:sz="4" w:space="0" w:color="94A3B8"/>
              <w:bottom w:val="single" w:sz="4" w:space="0" w:color="94A3B8"/>
              <w:right w:val="single" w:sz="4" w:space="0" w:color="94A3B8"/>
            </w:tcBorders>
          </w:tcPr>
          <w:p>
            <w:r/>
            <w:r>
              <w:rPr>
                <w:rFonts w:ascii="Calibri" w:hAnsi="Calibri"/>
                <w:b w:val="0"/>
                <w:i w:val="0"/>
                <w:sz w:val="20"/>
              </w:rPr>
              <w:t>Train-the-trainer graduates sufficient to sustain O&amp;M after transfer</w:t>
            </w:r>
          </w:p>
        </w:tc>
      </w:tr>
      <w:tr>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Operations fully transferred</w:t>
            </w:r>
          </w:p>
        </w:tc>
        <w:tc>
          <w:tcPr>
            <w:tcW w:type="dxa" w:w="4680"/>
            <w:tcBorders>
              <w:top w:val="single" w:sz="4" w:space="0" w:color="94A3B8"/>
              <w:left w:val="single" w:sz="4" w:space="0" w:color="94A3B8"/>
              <w:bottom w:val="single" w:sz="4" w:space="0" w:color="94A3B8"/>
              <w:right w:val="single" w:sz="4" w:space="0" w:color="94A3B8"/>
            </w:tcBorders>
            <w:shd w:fill="F8FAFC" w:val="clear"/>
          </w:tcPr>
          <w:p>
            <w:r/>
            <w:r>
              <w:rPr>
                <w:rFonts w:ascii="Calibri" w:hAnsi="Calibri"/>
                <w:b w:val="0"/>
                <w:i w:val="0"/>
                <w:sz w:val="20"/>
              </w:rPr>
              <w:t>Targeted for completion of Phase 4 (date set after Phase 1 schedule)</w:t>
            </w:r>
          </w:p>
        </w:tc>
      </w:tr>
    </w:tbl>
    <w:p/>
    <w:p>
      <w:pPr>
        <w:spacing w:before="320" w:after="160"/>
      </w:pPr>
      <w:r>
        <w:rPr>
          <w:rFonts w:ascii="Calibri" w:hAnsi="Calibri"/>
          <w:b/>
          <w:i w:val="0"/>
          <w:color w:val="0F172A"/>
          <w:sz w:val="32"/>
        </w:rPr>
        <w:t>8.  Why Partner With Us</w:t>
      </w:r>
    </w:p>
    <w:p>
      <w:pPr>
        <w:pStyle w:val="ListBullet"/>
        <w:spacing w:after="80"/>
      </w:pPr>
      <w:r>
        <w:rPr>
          <w:rFonts w:ascii="Calibri" w:hAnsi="Calibri"/>
          <w:b w:val="0"/>
          <w:i w:val="0"/>
          <w:sz w:val="22"/>
        </w:rPr>
        <w:t>Proven network delivery: nearly a decade of Cisco, Meraki, cabling, and multi-site IT/electrical field leadership across the United States.</w:t>
      </w:r>
    </w:p>
    <w:p>
      <w:pPr>
        <w:pStyle w:val="ListBullet"/>
        <w:spacing w:after="80"/>
      </w:pPr>
      <w:r>
        <w:rPr>
          <w:rFonts w:ascii="Calibri" w:hAnsi="Calibri"/>
          <w:b w:val="0"/>
          <w:i w:val="0"/>
          <w:sz w:val="22"/>
        </w:rPr>
        <w:t>Named commercial programs: QuikTrip Digital Media Upgrade; multi-technician delivery supporting partners including Tesla and Jenkins Restorations.</w:t>
      </w:r>
    </w:p>
    <w:p>
      <w:pPr>
        <w:pStyle w:val="ListBullet"/>
        <w:spacing w:after="80"/>
      </w:pPr>
      <w:r>
        <w:rPr>
          <w:rFonts w:ascii="Calibri" w:hAnsi="Calibri"/>
          <w:b w:val="0"/>
          <w:i w:val="0"/>
          <w:sz w:val="22"/>
        </w:rPr>
        <w:t>Standards leadership: engineering and installation practices aligned to TIA, BICSI, NEC, ISO/IEC, and IEEE — documented and tested.</w:t>
      </w:r>
    </w:p>
    <w:p>
      <w:pPr>
        <w:pStyle w:val="ListBullet"/>
        <w:spacing w:after="80"/>
      </w:pPr>
      <w:r>
        <w:rPr>
          <w:rFonts w:ascii="Calibri" w:hAnsi="Calibri"/>
          <w:b w:val="0"/>
          <w:i w:val="0"/>
          <w:sz w:val="22"/>
        </w:rPr>
        <w:t>Construction-backed execution: BGW Construction Company brings site coordination, safety awareness (OSHA 10), and program controls to network builds.</w:t>
      </w:r>
    </w:p>
    <w:p>
      <w:pPr>
        <w:pStyle w:val="ListBullet"/>
        <w:spacing w:after="80"/>
      </w:pPr>
      <w:r>
        <w:rPr>
          <w:rFonts w:ascii="Calibri" w:hAnsi="Calibri"/>
          <w:b w:val="0"/>
          <w:i w:val="0"/>
          <w:sz w:val="22"/>
        </w:rPr>
        <w:t>Local commitment: jobs, suppliers, and economic value kept in Guyana; progressive transfer of operations to Guyanese teams.</w:t>
      </w:r>
    </w:p>
    <w:p>
      <w:pPr>
        <w:pStyle w:val="ListBullet"/>
        <w:spacing w:after="80"/>
      </w:pPr>
      <w:r>
        <w:rPr>
          <w:rFonts w:ascii="Calibri" w:hAnsi="Calibri"/>
          <w:b w:val="0"/>
          <w:i w:val="0"/>
          <w:sz w:val="22"/>
        </w:rPr>
        <w:t>Lasting capability: training and mentorship that leaves Guyana more self-reliant than before.</w:t>
      </w:r>
    </w:p>
    <w:p>
      <w:pPr>
        <w:pStyle w:val="ListBullet"/>
        <w:spacing w:after="80"/>
      </w:pPr>
      <w:r>
        <w:rPr>
          <w:rFonts w:ascii="Calibri" w:hAnsi="Calibri"/>
          <w:b w:val="0"/>
          <w:i w:val="0"/>
          <w:sz w:val="22"/>
        </w:rPr>
        <w:t>Long-term partnership: a maintenance and support model built for reliability over the full lifecycle.</w:t>
      </w:r>
    </w:p>
    <w:p>
      <w:pPr>
        <w:spacing w:before="320" w:after="160"/>
      </w:pPr>
      <w:r>
        <w:rPr>
          <w:rFonts w:ascii="Calibri" w:hAnsi="Calibri"/>
          <w:b/>
          <w:i w:val="0"/>
          <w:color w:val="0F172A"/>
          <w:sz w:val="32"/>
        </w:rPr>
        <w:t>9.  Proposed Next Steps</w:t>
      </w:r>
    </w:p>
    <w:p>
      <w:pPr>
        <w:pStyle w:val="ListBullet"/>
        <w:spacing w:after="80"/>
      </w:pPr>
      <w:r>
        <w:rPr>
          <w:rFonts w:ascii="Calibri" w:hAnsi="Calibri"/>
          <w:b w:val="0"/>
          <w:i w:val="0"/>
          <w:sz w:val="22"/>
        </w:rPr>
        <w:t>Introductory meeting with the designated Ministry / Agency to align on priorities and target locations.</w:t>
      </w:r>
    </w:p>
    <w:p>
      <w:pPr>
        <w:pStyle w:val="ListBullet"/>
        <w:spacing w:after="80"/>
      </w:pPr>
      <w:r>
        <w:rPr>
          <w:rFonts w:ascii="Calibri" w:hAnsi="Calibri"/>
          <w:b w:val="0"/>
          <w:i w:val="0"/>
          <w:sz w:val="22"/>
        </w:rPr>
        <w:t>Joint scoping workshop to define initial sites, timelines, success measures, and local-content targets.</w:t>
      </w:r>
    </w:p>
    <w:p>
      <w:pPr>
        <w:pStyle w:val="ListBullet"/>
        <w:spacing w:after="80"/>
      </w:pPr>
      <w:r>
        <w:rPr>
          <w:rFonts w:ascii="Calibri" w:hAnsi="Calibri"/>
          <w:b w:val="0"/>
          <w:i w:val="0"/>
          <w:sz w:val="22"/>
        </w:rPr>
        <w:t>Detailed proposal and pricing for the agreed Phase 1 scope.</w:t>
      </w:r>
    </w:p>
    <w:p>
      <w:pPr>
        <w:pStyle w:val="ListBullet"/>
        <w:spacing w:after="80"/>
      </w:pPr>
      <w:r>
        <w:rPr>
          <w:rFonts w:ascii="Calibri" w:hAnsi="Calibri"/>
          <w:b w:val="0"/>
          <w:i w:val="0"/>
          <w:sz w:val="22"/>
        </w:rPr>
        <w:t>Pilot deployment to demonstrate quality, standards, and local participation.</w:t>
      </w:r>
    </w:p>
    <w:p>
      <w:pPr>
        <w:spacing w:after="160" w:before="0"/>
      </w:pPr>
      <w:r>
        <w:rPr>
          <w:rFonts w:ascii="Calibri" w:hAnsi="Calibri"/>
          <w:b w:val="0"/>
          <w:i w:val="0"/>
          <w:sz w:val="22"/>
        </w:rPr>
        <w:t>We would welcome the opportunity to discuss how FTBS and BGW Construction Company can support Guyana's infrastructure and workforce development goals. Thank you for your consideration.</w:t>
      </w:r>
    </w:p>
    <w:tbl>
      <w:tblPr>
        <w:tblW w:type="auto" w:w="0"/>
        <w:tblLook w:firstColumn="1" w:firstRow="1" w:lastColumn="0" w:lastRow="0" w:noHBand="0" w:noVBand="1" w:val="04A0"/>
      </w:tblPr>
      <w:tblGrid>
        <w:gridCol w:w="9360"/>
      </w:tblGrid>
      <w:tr>
        <w:tc>
          <w:tcPr>
            <w:tcW w:type="dxa" w:w="9360"/>
            <w:shd w:fill="F1F5F9" w:val="clear"/>
            <w:tcBorders>
              <w:top w:val="single" w:sz="4" w:space="0" w:color="94A3B8"/>
              <w:left w:val="single" w:sz="4" w:space="0" w:color="94A3B8"/>
              <w:bottom w:val="single" w:sz="4" w:space="0" w:color="94A3B8"/>
              <w:right w:val="single" w:sz="4" w:space="0" w:color="94A3B8"/>
            </w:tcBorders>
          </w:tcPr>
          <w:p>
            <w:r/>
            <w:r>
              <w:rPr>
                <w:rFonts w:ascii="Calibri" w:hAnsi="Calibri"/>
                <w:b/>
                <w:i w:val="0"/>
                <w:color w:val="0F172A"/>
                <w:sz w:val="22"/>
              </w:rPr>
              <w:t>Contact</w:t>
            </w:r>
          </w:p>
          <w:p>
            <w:pPr>
              <w:spacing w:after="40"/>
            </w:pPr>
            <w:r>
              <w:rPr>
                <w:rFonts w:ascii="Calibri" w:hAnsi="Calibri"/>
                <w:b w:val="0"/>
                <w:i w:val="0"/>
                <w:sz w:val="20"/>
              </w:rPr>
              <w:t>Company: Finesse Technology Business Solutions, LLC (FTBS)</w:t>
            </w:r>
          </w:p>
          <w:p>
            <w:pPr>
              <w:spacing w:after="40"/>
            </w:pPr>
            <w:r>
              <w:rPr>
                <w:rFonts w:ascii="Calibri" w:hAnsi="Calibri"/>
                <w:b w:val="0"/>
                <w:i w:val="0"/>
                <w:sz w:val="20"/>
              </w:rPr>
              <w:t>Division: BGW Construction Company</w:t>
            </w:r>
          </w:p>
          <w:p>
            <w:pPr>
              <w:spacing w:after="40"/>
            </w:pPr>
            <w:r>
              <w:rPr>
                <w:rFonts w:ascii="Calibri" w:hAnsi="Calibri"/>
                <w:b w:val="0"/>
                <w:i w:val="0"/>
                <w:sz w:val="20"/>
              </w:rPr>
              <w:t>Primary contact: Paul Gibbs, CEO, FTBS · President, BGW Construction Company</w:t>
            </w:r>
          </w:p>
          <w:p>
            <w:pPr>
              <w:spacing w:after="40"/>
            </w:pPr>
            <w:r>
              <w:rPr>
                <w:rFonts w:ascii="Calibri" w:hAnsi="Calibri"/>
                <w:b w:val="0"/>
                <w:i w:val="0"/>
                <w:sz w:val="20"/>
              </w:rPr>
              <w:t>Email: info@ftbsllc.com</w:t>
            </w:r>
          </w:p>
          <w:p>
            <w:pPr>
              <w:spacing w:after="40"/>
            </w:pPr>
            <w:r>
              <w:rPr>
                <w:rFonts w:ascii="Calibri" w:hAnsi="Calibri"/>
                <w:b w:val="0"/>
                <w:i w:val="0"/>
                <w:sz w:val="20"/>
              </w:rPr>
              <w:t>Phone: (954) 224-1283</w:t>
            </w:r>
          </w:p>
          <w:p>
            <w:pPr>
              <w:spacing w:after="40"/>
            </w:pPr>
            <w:r>
              <w:rPr>
                <w:rFonts w:ascii="Calibri" w:hAnsi="Calibri"/>
                <w:b w:val="0"/>
                <w:i w:val="0"/>
                <w:sz w:val="20"/>
              </w:rPr>
              <w:t>Website: https://ftbsllc.com</w:t>
            </w:r>
          </w:p>
          <w:p>
            <w:pPr>
              <w:spacing w:after="40"/>
            </w:pPr>
            <w:r>
              <w:rPr>
                <w:rFonts w:ascii="Calibri" w:hAnsi="Calibri"/>
                <w:b w:val="0"/>
                <w:i w:val="0"/>
                <w:sz w:val="20"/>
              </w:rPr>
              <w:t>U.S. address: 2274 Salem Rd SE Ste 106, Conyers, GA 30013, United States</w:t>
            </w:r>
          </w:p>
          <w:p>
            <w:pPr>
              <w:spacing w:after="40"/>
            </w:pPr>
            <w:r>
              <w:rPr>
                <w:rFonts w:ascii="Calibri" w:hAnsi="Calibri"/>
                <w:b w:val="0"/>
                <w:i w:val="0"/>
                <w:sz w:val="20"/>
              </w:rPr>
              <w:t>Local partner contact: Qualified Guyanese partner firm — to be named upon agreement / agency preference</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