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5D964">
      <w:pPr>
        <w:pStyle w:val="2"/>
        <w:keepNext/>
        <w:keepLines/>
        <w:spacing w:before="100" w:beforeAutospacing="1" w:after="120" w:afterAutospacing="1" w:line="360" w:lineRule="auto"/>
        <w:jc w:val="center"/>
        <w:outlineLvl w:val="0"/>
        <w:rPr>
          <w:kern w:val="44"/>
          <w:sz w:val="44"/>
          <w:szCs w:val="44"/>
        </w:rPr>
      </w:pPr>
      <w:r>
        <w:rPr>
          <w:rFonts w:hint="eastAsia"/>
          <w:b/>
          <w:sz w:val="36"/>
          <w:szCs w:val="36"/>
        </w:rPr>
        <w:t>把手术讲清楚：增强现实在术前医患沟通中的作用</w:t>
      </w:r>
    </w:p>
    <w:p w14:paraId="3193DA44">
      <w:pPr>
        <w:spacing w:after="360"/>
        <w:jc w:val="center"/>
      </w:pPr>
      <w:r>
        <w:rPr>
          <w:rFonts w:hint="eastAsia"/>
          <w:sz w:val="24"/>
          <w:szCs w:val="24"/>
        </w:rPr>
        <w:t>——面向非医学、非数字背景读者的文献综述</w:t>
      </w:r>
    </w:p>
    <w:p w14:paraId="0C3254D8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28"/>
          <w:szCs w:val="28"/>
        </w:rPr>
        <w:t>摘要</w:t>
      </w:r>
    </w:p>
    <w:p w14:paraId="3BF95021">
      <w:pPr>
        <w:ind w:firstLineChars="200"/>
      </w:pPr>
      <w:r>
        <w:rPr>
          <w:rFonts w:hint="eastAsia"/>
          <w:b/>
        </w:rPr>
        <w:t>要解决的问题</w:t>
      </w:r>
      <w:r>
        <w:rPr>
          <w:rFonts w:hint="eastAsia"/>
        </w:rPr>
        <w:t>　手术前，医生必须把"做什么、有什么风险、还有没有别的选择"讲给患者听，这一步叫术前宣教，也是签署知情同意书的前提。但研究反复发现，很多患者签完字之后，仍然说不清自己要做的是什么手术。</w:t>
      </w:r>
    </w:p>
    <w:p w14:paraId="65001F9E">
      <w:pPr>
        <w:ind w:firstLineChars="200"/>
      </w:pPr>
      <w:r>
        <w:rPr>
          <w:rFonts w:hint="eastAsia"/>
          <w:b/>
        </w:rPr>
        <w:t>我们看了什么</w:t>
      </w:r>
      <w:r>
        <w:rPr>
          <w:rFonts w:hint="eastAsia"/>
        </w:rPr>
        <w:t>　我们把 2019—2026 年间公开发表的 14 篇相关研究读完，其中 5 篇是汇总了数十项原始研究的综述，6 项是随机对照试验。我们不重新做实验，只做一件事：把这些研究各自测了什么、结果如何、结论是否互相支持，摆到一起看。</w:t>
      </w:r>
    </w:p>
    <w:p w14:paraId="68790848">
      <w:pPr>
        <w:ind w:firstLineChars="200"/>
      </w:pPr>
      <w:r>
        <w:rPr>
          <w:rFonts w:hint="eastAsia"/>
          <w:b/>
        </w:rPr>
        <w:t>主要发现</w:t>
      </w:r>
      <w:r>
        <w:rPr>
          <w:rFonts w:hint="eastAsia"/>
        </w:rPr>
        <w:t>　可视化确实能让患者更懂。但真正起作用的不是"技术有多先进"，而是两件很朴素的事：内容是不是患者本人的，以及讲完之后有没有让患者复述一遍。AR、VR、三维打印这些技术形态之间的差别，反而没有想象中明显。</w:t>
      </w:r>
    </w:p>
    <w:p w14:paraId="54127E2C">
      <w:pPr>
        <w:ind w:firstLineChars="200"/>
      </w:pPr>
      <w:r>
        <w:rPr>
          <w:rFonts w:hint="eastAsia"/>
          <w:b/>
        </w:rPr>
        <w:t>关键词</w:t>
      </w:r>
      <w:r>
        <w:rPr>
          <w:rFonts w:hint="eastAsia"/>
        </w:rPr>
        <w:t>　术前宣教；知情同意；增强现实；健康传播；</w:t>
      </w:r>
      <w:bookmarkStart w:id="0" w:name="_GoBack"/>
      <w:bookmarkEnd w:id="0"/>
      <w:r>
        <w:rPr>
          <w:rFonts w:hint="eastAsia"/>
        </w:rPr>
        <w:t>患者理解</w:t>
      </w:r>
    </w:p>
    <w:p w14:paraId="7AEE2909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28"/>
          <w:szCs w:val="28"/>
        </w:rPr>
        <w:t>一、这篇综述想解决什么问题</w:t>
      </w:r>
    </w:p>
    <w:p w14:paraId="0AE79189">
      <w:pPr>
        <w:ind w:firstLineChars="200"/>
      </w:pPr>
      <w:r>
        <w:rPr>
          <w:rFonts w:hint="eastAsia"/>
        </w:rPr>
        <w:t>先还原一个场景。</w:t>
      </w:r>
    </w:p>
    <w:p w14:paraId="4A003F3C">
      <w:pPr>
        <w:ind w:firstLineChars="200"/>
      </w:pPr>
      <w:r>
        <w:rPr>
          <w:rFonts w:hint="eastAsia"/>
        </w:rPr>
        <w:t>病房里，医生打开电脑上的一张二维 CT 片，用笔在屏幕上画两下："肿瘤在这里，手术从这个位置进去，把这一块拿掉，周围这些血管要避开。"患者一边点头一边签字。三天后进手术室，家属在门口问"到底切多少"，患者答不上来。</w:t>
      </w:r>
    </w:p>
    <w:p w14:paraId="2F25E256">
      <w:pPr>
        <w:ind w:firstLineChars="200"/>
      </w:pPr>
      <w:r>
        <w:rPr>
          <w:rFonts w:hint="eastAsia"/>
        </w:rPr>
        <w:t>这不是某个医生不会讲话，而是一个普遍现象。大量研究显示，患者对手术风险、手术方式、甚至手术部位的记忆，明显低于签字时的预期。有研究让患者术后指出自己的手术部位，错误率并不低。</w:t>
      </w:r>
    </w:p>
    <w:p w14:paraId="47003B43">
      <w:pPr>
        <w:ind w:firstLineChars="200"/>
      </w:pPr>
      <w:r>
        <w:rPr>
          <w:rFonts w:hint="eastAsia"/>
        </w:rPr>
        <w:t>近几年，一批研究开始尝试用新办法讲同一件事：把 CT 和核磁数据重建成三维模型，做成动画视频，或者用 VR 头显、AR 眼镜把手术区域"摆"到患者面前。我们这个小组项目做的也是这类事情。</w:t>
      </w:r>
    </w:p>
    <w:p w14:paraId="1E960EAF">
      <w:pPr>
        <w:ind w:firstLineChars="200"/>
      </w:pPr>
      <w:r>
        <w:rPr>
          <w:rFonts w:hint="eastAsia"/>
        </w:rPr>
        <w:t>所以这篇综述只回答三个问题：传统宣教为什么常常失效；可视化能改善什么、不能改善什么；决定效果的关键变量到底是什么。</w:t>
      </w:r>
    </w:p>
    <w:p w14:paraId="02A4D49E">
      <w:pPr>
        <w:ind w:firstLineChars="200"/>
      </w:pPr>
      <w:r>
        <w:rPr>
          <w:rFonts w:hint="eastAsia"/>
        </w:rPr>
        <w:t>为了便于非专业读者阅读，正文不展开检索式和统计细节，只保留结论与关键数字；14 篇文献的出处、研究类型和一句话结论，集中放在文末的附录表里。</w:t>
      </w:r>
    </w:p>
    <w:p w14:paraId="3CDF6225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28"/>
          <w:szCs w:val="28"/>
        </w:rPr>
        <w:t>二、为什么"讲过了"不等于"听懂了"</w:t>
      </w:r>
    </w:p>
    <w:p w14:paraId="205DDA3D">
      <w:pPr>
        <w:ind w:firstLineChars="200"/>
      </w:pPr>
      <w:r>
        <w:rPr>
          <w:rFonts w:hint="eastAsia"/>
        </w:rPr>
        <w:t>原因大致有三个，而且互相叠加。</w:t>
      </w:r>
    </w:p>
    <w:p w14:paraId="4A00D02C">
      <w:pPr>
        <w:ind w:firstLineChars="200"/>
      </w:pPr>
      <w:r>
        <w:rPr>
          <w:rFonts w:hint="eastAsia"/>
          <w:b/>
        </w:rPr>
        <w:t>第一，材料写得太难。</w:t>
      </w:r>
      <w:r>
        <w:rPr>
          <w:rFonts w:hint="eastAsia"/>
        </w:rPr>
        <w:t xml:space="preserve"> 知情同意书本质上是法律文本，要覆盖所有可能的风险，措辞必须谨慎，句子必然长。健康教育领域有一个通行标准：面向患者的材料，阅读难度应控制在六到七年级水平。但多数手术相关材料远超这个标准。当材料的难度超过患者的阅读能力，"已告知"在法律上成立，在认知上却不成立——签字的效力有了，理解的效果没有。</w:t>
      </w:r>
    </w:p>
    <w:p w14:paraId="52676FA7">
      <w:pPr>
        <w:ind w:firstLineChars="200"/>
      </w:pPr>
      <w:r>
        <w:rPr>
          <w:rFonts w:hint="eastAsia"/>
          <w:b/>
        </w:rPr>
        <w:t>第二，签字成了终点。</w:t>
      </w:r>
      <w:r>
        <w:rPr>
          <w:rFonts w:hint="eastAsia"/>
        </w:rPr>
        <w:t xml:space="preserve"> 同意书一签，流程即视为完成。没有人回过头去检验患者到底懂了没有。一项覆盖 40 项研究、13 个国家、15 个外科专科的综述发现，只有 42% 的研究真正评估了知情同意的全部四个要素（一般信息、风险、获益、替代方案），多数只测其中一两项。也就是说，连"理解"这个概念本身，测量都是不完整的。</w:t>
      </w:r>
    </w:p>
    <w:p w14:paraId="2F6FD1E8">
      <w:pPr>
        <w:ind w:firstLineChars="200"/>
      </w:pPr>
      <w:r>
        <w:rPr>
          <w:rFonts w:hint="eastAsia"/>
          <w:b/>
        </w:rPr>
        <w:t>第三，单向输出没有反馈回路。</w:t>
      </w:r>
      <w:r>
        <w:rPr>
          <w:rFonts w:hint="eastAsia"/>
        </w:rPr>
        <w:t xml:space="preserve"> 医生讲、患者听，中间缺一个"请你复述一遍"的环节。讲的人以为讲清楚了，听的人以为听懂了，双方都不知道缺口在哪里。这一点在后面会看到，恰恰是最关键的地方。</w:t>
      </w:r>
    </w:p>
    <w:p w14:paraId="5A1566A7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28"/>
          <w:szCs w:val="28"/>
          <w:lang w:val="en-US" w:eastAsia="zh-CN"/>
        </w:rPr>
        <w:t>三</w:t>
      </w:r>
      <w:r>
        <w:rPr>
          <w:rFonts w:hint="eastAsia"/>
          <w:b/>
          <w:sz w:val="28"/>
          <w:szCs w:val="28"/>
        </w:rPr>
        <w:t>、关键不在"用不用技术"，在"用谁的数据"</w:t>
      </w:r>
    </w:p>
    <w:p w14:paraId="37589243">
      <w:pPr>
        <w:ind w:firstLineChars="200"/>
      </w:pPr>
      <w:r>
        <w:rPr>
          <w:rFonts w:hint="eastAsia"/>
        </w:rPr>
        <w:t>可视化其实分两类，差别比"用不用技术"大得多。</w:t>
      </w:r>
    </w:p>
    <w:p w14:paraId="5EAEDFDA">
      <w:pPr>
        <w:ind w:firstLineChars="200"/>
      </w:pPr>
      <w:r>
        <w:rPr>
          <w:rFonts w:hint="eastAsia"/>
        </w:rPr>
        <w:t>一类是通用的：标准的解剖图、标准的动画，不管来的是哪位患者，看的都是同一套。另一类是个体化的：把这位患者自己的 CT、核磁数据重建成三维模型，模型上长的就是他自己的肿瘤。</w:t>
      </w:r>
    </w:p>
    <w:p w14:paraId="05BD2CBC">
      <w:pPr>
        <w:ind w:firstLineChars="200"/>
      </w:pPr>
      <w:r>
        <w:rPr>
          <w:rFonts w:hint="eastAsia"/>
        </w:rPr>
        <w:t>两类研究的结局差别很明显。</w:t>
      </w:r>
    </w:p>
    <w:p w14:paraId="3D00E17F">
      <w:pPr>
        <w:ind w:firstLineChars="200"/>
      </w:pPr>
      <w:r>
        <w:rPr>
          <w:rFonts w:hint="eastAsia"/>
        </w:rPr>
        <w:t>用通用内容的：一项 100 例的随机对照试验，用平板上的 AR 工具做宣教，对照组采用"传统讨论 + 影像 + 医生手绘图"。结果两组患者自评的理解程度没有差别，AR 组只在满意度上更高。</w:t>
      </w:r>
    </w:p>
    <w:p w14:paraId="236C60E8">
      <w:pPr>
        <w:ind w:firstLineChars="200"/>
      </w:pPr>
      <w:r>
        <w:rPr>
          <w:rFonts w:hint="eastAsia"/>
        </w:rPr>
        <w:t>用患者本人影像的：颅内肿瘤手术的试验里，三维沉浸式呈现的客观理解得分明显高于二维影像组；鼻窦手术的试验里，患者个体化三维 CT 的得分同样更高；肝脏手术的试验里，用三维打印模型后，患者对病灶范围的正确理解率从 70% 升到 100%，对病灶位置的正确理解率从 65% 升到 95%；直肠癌手术的试验里，个体化三维建模组的决策困难程度下降更多，医患对"这次手术的目标是什么"的一致率是 84%，对照组只有 60%。</w:t>
      </w:r>
    </w:p>
    <w:p w14:paraId="64930101">
      <w:pPr>
        <w:ind w:firstLineChars="200"/>
      </w:pPr>
      <w:r>
        <w:rPr>
          <w:rFonts w:hint="eastAsia"/>
        </w:rPr>
        <w:t>把这两组放在一起看，很像一个近似的自然实验：凡是用患者本人影像的，客观理解全部改善；凡是用通用内容的，没有差异。</w:t>
      </w:r>
    </w:p>
    <w:p w14:paraId="5DD8B5E9">
      <w:pPr>
        <w:ind w:firstLineChars="200"/>
      </w:pPr>
      <w:r>
        <w:rPr>
          <w:rFonts w:hint="eastAsia"/>
        </w:rPr>
        <w:t>需要说明的是，这些研究的科室、测量工具、随访时间都不一样，不能当作严格的因果证据。但方向高度一致，足以支撑一个判断。</w:t>
      </w:r>
    </w:p>
    <w:p w14:paraId="0781C2FE">
      <w:pPr>
        <w:ind w:firstLineChars="200"/>
      </w:pPr>
      <w:r>
        <w:rPr>
          <w:rFonts w:hint="eastAsia"/>
        </w:rPr>
        <w:t>一句话概括：患者真正关心的不是"肝脏长什么样"，而是"我这个肝脏现在什么样、医生要动哪一块"。</w:t>
      </w:r>
    </w:p>
    <w:p w14:paraId="601EB9C7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28"/>
          <w:szCs w:val="28"/>
          <w:lang w:val="en-US" w:eastAsia="zh-CN"/>
        </w:rPr>
        <w:t>四</w:t>
      </w:r>
      <w:r>
        <w:rPr>
          <w:rFonts w:hint="eastAsia"/>
          <w:b/>
          <w:sz w:val="28"/>
          <w:szCs w:val="28"/>
        </w:rPr>
        <w:t>、AR 和 VR 不是一回事</w:t>
      </w:r>
    </w:p>
    <w:p w14:paraId="2200C0D8">
      <w:pPr>
        <w:ind w:firstLineChars="200"/>
      </w:pPr>
      <w:r>
        <w:rPr>
          <w:rFonts w:hint="eastAsia"/>
        </w:rPr>
        <w:t>这两个词经常被混着用，其实差别不小。</w:t>
      </w:r>
    </w:p>
    <w:p w14:paraId="4C9E83A5">
      <w:pPr>
        <w:ind w:firstLineChars="200"/>
      </w:pPr>
      <w:r>
        <w:rPr>
          <w:rFonts w:hint="eastAsia"/>
        </w:rPr>
        <w:t>VR（虚拟现实）是把人"带进"一个完全虚拟的空间，需要戴封闭式头显。优点是沉浸感强，缺点是"封闭"——戴上头显的人看不到周围，医生和患者没法同时看同一个东西，也没法交流。</w:t>
      </w:r>
    </w:p>
    <w:p w14:paraId="557EE07C">
      <w:pPr>
        <w:ind w:firstLineChars="200"/>
      </w:pPr>
      <w:r>
        <w:rPr>
          <w:rFonts w:hint="eastAsia"/>
        </w:rPr>
        <w:t>AR（增强现实）是把虚拟的三维结构"叠"在真实场景上，用手机、平板或轻量眼镜就能看。它不封闭，医生和患者可以看同一块屏幕，医生还能指着患者身上的实际部位讲"就是这里"。</w:t>
      </w:r>
    </w:p>
    <w:p w14:paraId="1A39CDD3">
      <w:pPr>
        <w:ind w:firstLineChars="200"/>
      </w:pPr>
      <w:r>
        <w:rPr>
          <w:rFonts w:hint="eastAsia"/>
        </w:rPr>
        <w:t>证据方面，一项汇总了 16 项研究、1067 例患者、其中 10 项随机试验的综述给出的结论是：VR 的效果一致为正；AR 与 MR 的研究数量有限，结果不一。另一项专门检索 AR 用于外科知情同意的综述，从 52 条记录里最终只纳入 8 项研究，且多数存在较高的偏倚风险。</w:t>
      </w:r>
    </w:p>
    <w:p w14:paraId="04F60023">
      <w:pPr>
        <w:ind w:firstLineChars="200"/>
      </w:pPr>
      <w:r>
        <w:rPr>
          <w:rFonts w:hint="eastAsia"/>
        </w:rPr>
        <w:t>这意味着，如果我们的答辩材料里写"AR 效果更好"，是站不住的。</w:t>
      </w:r>
    </w:p>
    <w:p w14:paraId="78831B6F">
      <w:pPr>
        <w:ind w:firstLineChars="200"/>
      </w:pPr>
      <w:r>
        <w:rPr>
          <w:rFonts w:hint="eastAsia"/>
        </w:rPr>
        <w:t>更诚实的写法是：我们选 AR，不是因为它的疗效被证明更强，而是因为它更适合床边这个具体场景——不用戴封闭头显，医生和患者可以共享同一块屏幕，可以指着患者自己的身体讲，单例使用成本也低得多。这是实施性优势，不是疗效优势。这个理由同样有力，而且经得起追问。</w:t>
      </w:r>
    </w:p>
    <w:p w14:paraId="6D6DF335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28"/>
          <w:szCs w:val="28"/>
          <w:lang w:val="en-US" w:eastAsia="zh-CN"/>
        </w:rPr>
        <w:t>五</w:t>
      </w:r>
      <w:r>
        <w:rPr>
          <w:rFonts w:hint="eastAsia"/>
          <w:b/>
          <w:sz w:val="28"/>
          <w:szCs w:val="28"/>
        </w:rPr>
        <w:t>、四个容易搞错的判断</w:t>
      </w:r>
    </w:p>
    <w:p w14:paraId="7CDF8DDD">
      <w:pPr>
        <w:ind w:firstLineChars="200"/>
      </w:pPr>
      <w:r>
        <w:rPr>
          <w:rFonts w:hint="eastAsia"/>
        </w:rPr>
        <w:t>以下四条，是这类项目最容易在答辩现场被问倒的地方。</w:t>
      </w:r>
    </w:p>
    <w:p w14:paraId="00F54000">
      <w:pPr>
        <w:ind w:firstLineChars="200"/>
      </w:pPr>
      <w:r>
        <w:rPr>
          <w:rFonts w:hint="eastAsia"/>
          <w:b/>
        </w:rPr>
        <w:t>技术越新，效果越好？</w:t>
      </w:r>
      <w:r>
        <w:rPr>
          <w:rFonts w:hint="eastAsia"/>
        </w:rPr>
        <w:t xml:space="preserve"> 四条独立证据都指向反面。一项 Meta 分析显示可视化与口头讲解没有显著差异；一项 AR 系统评价明确指出"相对其他增强手段的优势并不明确"；一项 100 例的随机试验里，AR 与"讨论 + 影像 + 手绘图"没有差别；一项 62 例的神经外科试验里，AR 与实体解剖模型相比，只有客观理解占优，主观感受、焦虑、沟通时长都没有差异。技术形态本身不是价值来源。</w:t>
      </w:r>
    </w:p>
    <w:p w14:paraId="3CB4B436">
      <w:pPr>
        <w:ind w:firstLineChars="200"/>
      </w:pPr>
      <w:r>
        <w:rPr>
          <w:rFonts w:hint="eastAsia"/>
          <w:b/>
        </w:rPr>
        <w:t>可视化一定能缓解焦虑？</w:t>
      </w:r>
      <w:r>
        <w:rPr>
          <w:rFonts w:hint="eastAsia"/>
        </w:rPr>
        <w:t xml:space="preserve"> 不一定。一项 5—17 岁儿童的随机试验里，AR 虚拟角色在患者进手术室时确实降低了焦虑，但到麻醉诱导时，两组的差别就消失了；另一项成人神经外科的试验里，焦虑从始至终没有变化。理解是认知问题，焦虑是情绪问题，是两条路。一个项目能把其中一条讲透，就已经很不容易，不要声称两条都能解决。</w:t>
      </w:r>
    </w:p>
    <w:p w14:paraId="013DAC83">
      <w:pPr>
        <w:ind w:firstLineChars="200"/>
      </w:pPr>
      <w:r>
        <w:rPr>
          <w:rFonts w:hint="eastAsia"/>
          <w:b/>
        </w:rPr>
        <w:t>国内没人做过，我们是第一个？</w:t>
      </w:r>
      <w:r>
        <w:rPr>
          <w:rFonts w:hint="eastAsia"/>
        </w:rPr>
        <w:t xml:space="preserve"> 不成立。2026 年已经有一项国内神经外科的随机对照试验（62 例），用 AR 与实体解剖模型对比。更稳妥的表述是"国内相关实证研究仍然很少"，而不是"首个"。</w:t>
      </w:r>
    </w:p>
    <w:p w14:paraId="12FD6080">
      <w:pPr>
        <w:ind w:firstLineChars="200"/>
      </w:pPr>
      <w:r>
        <w:rPr>
          <w:rFonts w:hint="eastAsia"/>
          <w:b/>
        </w:rPr>
        <w:t>可视化能省时间、省成本？</w:t>
      </w:r>
      <w:r>
        <w:rPr>
          <w:rFonts w:hint="eastAsia"/>
        </w:rPr>
        <w:t xml:space="preserve"> 部分成立。一项骨科研究显示，用一段 8 分钟的 VR 影片替代部分口头谈话，术前谈话时长从平均 665 秒降到 93 秒，人均节省约 11—40 美元的人力成本。但前提是内容标准化、可重复使用。真正个体化的三维重建，需要影像处理和建模，单例准备成本反而更高，目前没有任何研究报过这笔账。谈效率时必须带上这个限定。</w:t>
      </w:r>
    </w:p>
    <w:p w14:paraId="2BA48A34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28"/>
          <w:szCs w:val="28"/>
          <w:lang w:val="en-US" w:eastAsia="zh-CN"/>
        </w:rPr>
        <w:t>六</w:t>
      </w:r>
      <w:r>
        <w:rPr>
          <w:rFonts w:hint="eastAsia"/>
          <w:b/>
          <w:sz w:val="28"/>
          <w:szCs w:val="28"/>
        </w:rPr>
        <w:t>、对我们项目的四点启示</w:t>
      </w:r>
    </w:p>
    <w:p w14:paraId="40E6B003">
      <w:pPr>
        <w:ind w:firstLineChars="200"/>
      </w:pPr>
      <w:r>
        <w:rPr>
          <w:rFonts w:hint="eastAsia"/>
          <w:b/>
        </w:rPr>
        <w:t>定位上，说"辅助"，不说"替代"。</w:t>
      </w:r>
      <w:r>
        <w:rPr>
          <w:rFonts w:hint="eastAsia"/>
        </w:rPr>
        <w:t xml:space="preserve"> 可视化是医生讲解的辅助工具。答辩时不要说"有了它，患者就不用听医生讲了"——现有证据恰好否掉这句话。</w:t>
      </w:r>
    </w:p>
    <w:p w14:paraId="1D16FB0C">
      <w:pPr>
        <w:ind w:firstLineChars="200"/>
      </w:pPr>
      <w:r>
        <w:rPr>
          <w:rFonts w:hint="eastAsia"/>
          <w:b/>
        </w:rPr>
        <w:t>设计上，先做"患者自己的影像"，再做"好看的动画"。</w:t>
      </w:r>
      <w:r>
        <w:rPr>
          <w:rFonts w:hint="eastAsia"/>
        </w:rPr>
        <w:t xml:space="preserve"> 个体化内容带来的增益，在证据里最稳定。另外，讲完加一个"请你说一遍"的环节，成本几乎为零，效果在证据里排第一。</w:t>
      </w:r>
    </w:p>
    <w:p w14:paraId="28F5B8CB">
      <w:pPr>
        <w:ind w:firstLineChars="200"/>
      </w:pPr>
      <w:r>
        <w:rPr>
          <w:rFonts w:hint="eastAsia"/>
          <w:b/>
        </w:rPr>
        <w:t>评价上，别只测满意度。</w:t>
      </w:r>
      <w:r>
        <w:rPr>
          <w:rFonts w:hint="eastAsia"/>
        </w:rPr>
        <w:t xml:space="preserve"> 满意度几乎在任何干预下都很高，患者通常不好意思打低分，这个指标区分不出好坏。要测"患者能不能用自己的话讲清楚手术要做什么"。另外，理解会随时间衰减——一项综述显示，早期测量有 70% 的研究看到改善，延迟测量只剩 45%。有条件的话，补一次随访。</w:t>
      </w:r>
    </w:p>
    <w:p w14:paraId="222F329A">
      <w:pPr>
        <w:ind w:firstLineChars="200"/>
      </w:pPr>
      <w:r>
        <w:rPr>
          <w:rFonts w:hint="eastAsia"/>
          <w:b/>
        </w:rPr>
        <w:t>表述上，换掉两句最容易被质疑的话。</w:t>
      </w:r>
      <w:r>
        <w:rPr>
          <w:rFonts w:hint="eastAsia"/>
        </w:rPr>
        <w:t xml:space="preserve"> "消除未知带来的恐惧"被两项试验否掉；"降低医患矛盾"没有任何研究测过纠纷率，属于无法证实的断言。换成"看得懂、讲得回、讲得快"，每一条都有数据支撑，也更容易被记住。</w:t>
      </w:r>
    </w:p>
    <w:p w14:paraId="4B073B16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28"/>
          <w:szCs w:val="28"/>
          <w:lang w:val="en-US" w:eastAsia="zh-CN"/>
        </w:rPr>
        <w:t>七</w:t>
      </w:r>
      <w:r>
        <w:rPr>
          <w:rFonts w:hint="eastAsia"/>
          <w:b/>
          <w:sz w:val="28"/>
          <w:szCs w:val="28"/>
        </w:rPr>
        <w:t>、结语</w:t>
      </w:r>
    </w:p>
    <w:p w14:paraId="3E034632">
      <w:pPr>
        <w:ind w:firstLineChars="200"/>
      </w:pPr>
      <w:r>
        <w:rPr>
          <w:rFonts w:hint="eastAsia"/>
        </w:rPr>
        <w:t>术前宣教失效，主要不是态度问题，而是方法问题：材料太难、流程走形式、讲完没有反馈。</w:t>
      </w:r>
    </w:p>
    <w:p w14:paraId="3313FA5A">
      <w:pPr>
        <w:ind w:firstLineChars="200"/>
      </w:pPr>
      <w:r>
        <w:rPr>
          <w:rFonts w:hint="eastAsia"/>
        </w:rPr>
        <w:t>可视化能改善理解，这一点证据充分；但改善的幅度取决于两件事——内容是不是患者本人的，过程有没有让患者开口。技术形态（AR、VR、三维打印）之间的差别，远小于这两件事带来的差别。</w:t>
      </w:r>
    </w:p>
    <w:p w14:paraId="596D59A1">
      <w:pPr>
        <w:ind w:firstLineChars="200"/>
      </w:pPr>
      <w:r>
        <w:rPr>
          <w:rFonts w:hint="eastAsia"/>
        </w:rPr>
        <w:t>对一个六天周期的学生项目来说，最现实的价值不是"证明 AR 有效"——这在学术上很难，在时间上也不允许——而是把一套可复用的沟通流程设计出来，并且用文献说清楚每一步为什么这样做。这套流程本身，就是这个项目可以交付的东西。</w:t>
      </w:r>
    </w:p>
    <w:p w14:paraId="7B147560"/>
    <w:p w14:paraId="27815A64">
      <w:r>
        <w:br w:type="page"/>
      </w:r>
    </w:p>
    <w:p w14:paraId="5E87CB19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28"/>
          <w:szCs w:val="28"/>
        </w:rPr>
        <w:t>附：14 篇文献概览</w:t>
      </w:r>
    </w:p>
    <w:p w14:paraId="32110311">
      <w:pPr>
        <w:jc w:val="center"/>
      </w:pPr>
      <w:r>
        <w:rPr>
          <w:rFonts w:hint="eastAsia"/>
          <w:b/>
        </w:rPr>
        <w:t>表 2　纳入文献及其一句话结论</w:t>
      </w:r>
    </w:p>
    <w:tbl>
      <w:tblPr>
        <w:tblStyle w:val="4"/>
        <w:tblW w:w="8800" w:type="dxa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0"/>
        <w:gridCol w:w="3150"/>
        <w:gridCol w:w="3850"/>
      </w:tblGrid>
      <w:tr w14:paraId="4C4BAE4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800" w:type="dxa"/>
            <w:vAlign w:val="top"/>
          </w:tcPr>
          <w:p w14:paraId="3B75936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sz w:val="18"/>
                <w:szCs w:val="18"/>
              </w:rPr>
              <w:t>文献</w:t>
            </w:r>
          </w:p>
        </w:tc>
        <w:tc>
          <w:tcPr>
            <w:tcW w:w="3150" w:type="dxa"/>
            <w:vAlign w:val="top"/>
          </w:tcPr>
          <w:p w14:paraId="6C159AE1">
            <w:pPr>
              <w:rPr>
                <w:b/>
                <w:bCs/>
              </w:rPr>
            </w:pPr>
            <w:r>
              <w:rPr>
                <w:rFonts w:hint="eastAsia"/>
                <w:b/>
                <w:sz w:val="18"/>
                <w:szCs w:val="18"/>
              </w:rPr>
              <w:t>研究类型</w:t>
            </w:r>
          </w:p>
        </w:tc>
        <w:tc>
          <w:tcPr>
            <w:tcW w:w="3850" w:type="dxa"/>
            <w:vAlign w:val="top"/>
          </w:tcPr>
          <w:p w14:paraId="339CE95D">
            <w:pPr>
              <w:rPr>
                <w:b/>
                <w:bCs/>
              </w:rPr>
            </w:pPr>
            <w:r>
              <w:rPr>
                <w:rFonts w:hint="eastAsia"/>
                <w:b/>
                <w:sz w:val="18"/>
                <w:szCs w:val="18"/>
              </w:rPr>
              <w:t>一句话结论</w:t>
            </w:r>
          </w:p>
        </w:tc>
      </w:tr>
      <w:tr w14:paraId="075E64D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31D85E45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Glaser 等（2020）</w:t>
            </w:r>
          </w:p>
        </w:tc>
        <w:tc>
          <w:tcPr>
            <w:tcW w:w="3150" w:type="dxa"/>
            <w:vAlign w:val="top"/>
          </w:tcPr>
          <w:p w14:paraId="2C3DBCDF">
            <w:r>
              <w:rPr>
                <w:rFonts w:hint="eastAsia"/>
                <w:sz w:val="18"/>
                <w:szCs w:val="18"/>
              </w:rPr>
              <w:t>综述（52 项研究）</w:t>
            </w:r>
          </w:p>
        </w:tc>
        <w:tc>
          <w:tcPr>
            <w:tcW w:w="3850" w:type="dxa"/>
            <w:vAlign w:val="top"/>
          </w:tcPr>
          <w:p w14:paraId="447716F9">
            <w:r>
              <w:rPr>
                <w:rFonts w:hint="eastAsia"/>
                <w:sz w:val="18"/>
                <w:szCs w:val="18"/>
              </w:rPr>
              <w:t>沟通方式越互动，患者理解越好；"讲完让患者复述"成功率最高</w:t>
            </w:r>
          </w:p>
        </w:tc>
      </w:tr>
      <w:tr w14:paraId="473358F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21C87127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Galmarini 等（2024）</w:t>
            </w:r>
          </w:p>
        </w:tc>
        <w:tc>
          <w:tcPr>
            <w:tcW w:w="3150" w:type="dxa"/>
            <w:vAlign w:val="top"/>
          </w:tcPr>
          <w:p w14:paraId="0D035B4C">
            <w:r>
              <w:rPr>
                <w:rFonts w:hint="eastAsia"/>
                <w:sz w:val="18"/>
                <w:szCs w:val="18"/>
              </w:rPr>
              <w:t>综述 + Meta 分析（28 项）</w:t>
            </w:r>
          </w:p>
        </w:tc>
        <w:tc>
          <w:tcPr>
            <w:tcW w:w="3850" w:type="dxa"/>
            <w:vAlign w:val="top"/>
          </w:tcPr>
          <w:p w14:paraId="2AD872BB">
            <w:r>
              <w:rPr>
                <w:rFonts w:hint="eastAsia"/>
                <w:sz w:val="18"/>
                <w:szCs w:val="18"/>
              </w:rPr>
              <w:t>可视化优于书面材料，但不优于医生口头讲解</w:t>
            </w:r>
          </w:p>
        </w:tc>
      </w:tr>
      <w:tr w14:paraId="5D3ABF4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4AEFA183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Kiernan 等（2023）</w:t>
            </w:r>
          </w:p>
        </w:tc>
        <w:tc>
          <w:tcPr>
            <w:tcW w:w="3150" w:type="dxa"/>
            <w:vAlign w:val="top"/>
          </w:tcPr>
          <w:p w14:paraId="202E3C95">
            <w:r>
              <w:rPr>
                <w:rFonts w:hint="eastAsia"/>
                <w:sz w:val="18"/>
                <w:szCs w:val="18"/>
              </w:rPr>
              <w:t>综述（40 项研究）</w:t>
            </w:r>
          </w:p>
        </w:tc>
        <w:tc>
          <w:tcPr>
            <w:tcW w:w="3850" w:type="dxa"/>
            <w:vAlign w:val="top"/>
          </w:tcPr>
          <w:p w14:paraId="36584FC5">
            <w:r>
              <w:rPr>
                <w:rFonts w:hint="eastAsia"/>
                <w:sz w:val="18"/>
                <w:szCs w:val="18"/>
              </w:rPr>
              <w:t>数字手段的改善效果会随时间衰减，延迟测量只剩一半</w:t>
            </w:r>
          </w:p>
        </w:tc>
      </w:tr>
      <w:tr w14:paraId="7E18C69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2ADA2EDD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Evans 等（2025）</w:t>
            </w:r>
          </w:p>
        </w:tc>
        <w:tc>
          <w:tcPr>
            <w:tcW w:w="3150" w:type="dxa"/>
            <w:vAlign w:val="top"/>
          </w:tcPr>
          <w:p w14:paraId="54C8C9B0">
            <w:r>
              <w:rPr>
                <w:rFonts w:hint="eastAsia"/>
                <w:sz w:val="18"/>
                <w:szCs w:val="18"/>
              </w:rPr>
              <w:t>综述（52 条记录，纳入 8 项）</w:t>
            </w:r>
          </w:p>
        </w:tc>
        <w:tc>
          <w:tcPr>
            <w:tcW w:w="3850" w:type="dxa"/>
            <w:vAlign w:val="top"/>
          </w:tcPr>
          <w:p w14:paraId="070163EB">
            <w:r>
              <w:rPr>
                <w:rFonts w:hint="eastAsia"/>
                <w:sz w:val="18"/>
                <w:szCs w:val="18"/>
              </w:rPr>
              <w:t>AR 能改善理解与满意度，但相对其他手段优势不明确</w:t>
            </w:r>
          </w:p>
        </w:tc>
      </w:tr>
      <w:tr w14:paraId="35BA08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471CBACA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Wehrkamp 等（2025）</w:t>
            </w:r>
          </w:p>
        </w:tc>
        <w:tc>
          <w:tcPr>
            <w:tcW w:w="3150" w:type="dxa"/>
            <w:vAlign w:val="top"/>
          </w:tcPr>
          <w:p w14:paraId="4DBCB456">
            <w:r>
              <w:rPr>
                <w:rFonts w:hint="eastAsia"/>
                <w:sz w:val="18"/>
                <w:szCs w:val="18"/>
              </w:rPr>
              <w:t>综述（16 项研究，10 项随机试验）</w:t>
            </w:r>
          </w:p>
        </w:tc>
        <w:tc>
          <w:tcPr>
            <w:tcW w:w="3850" w:type="dxa"/>
            <w:vAlign w:val="top"/>
          </w:tcPr>
          <w:p w14:paraId="1F9FD783">
            <w:r>
              <w:rPr>
                <w:rFonts w:hint="eastAsia"/>
                <w:sz w:val="18"/>
                <w:szCs w:val="18"/>
              </w:rPr>
              <w:t>VR 效果一致为正；AR 与 MR 研究少、结果不一</w:t>
            </w:r>
          </w:p>
        </w:tc>
      </w:tr>
      <w:tr w14:paraId="18DA982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731EA6FB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Perin 等（2021）</w:t>
            </w:r>
          </w:p>
        </w:tc>
        <w:tc>
          <w:tcPr>
            <w:tcW w:w="3150" w:type="dxa"/>
            <w:vAlign w:val="top"/>
          </w:tcPr>
          <w:p w14:paraId="3D74D1CA">
            <w:r>
              <w:rPr>
                <w:rFonts w:hint="eastAsia"/>
                <w:sz w:val="18"/>
                <w:szCs w:val="18"/>
              </w:rPr>
              <w:t>随机对照试验（40 例，颅内肿瘤）</w:t>
            </w:r>
          </w:p>
        </w:tc>
        <w:tc>
          <w:tcPr>
            <w:tcW w:w="3850" w:type="dxa"/>
            <w:vAlign w:val="top"/>
          </w:tcPr>
          <w:p w14:paraId="445A9278">
            <w:r>
              <w:rPr>
                <w:rFonts w:hint="eastAsia"/>
                <w:sz w:val="18"/>
                <w:szCs w:val="18"/>
              </w:rPr>
              <w:t>三维沉浸式呈现的客观理解明显优于二维影像</w:t>
            </w:r>
          </w:p>
        </w:tc>
      </w:tr>
      <w:tr w14:paraId="0CBE542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0664EB17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Kornmann 等（2026）</w:t>
            </w:r>
          </w:p>
        </w:tc>
        <w:tc>
          <w:tcPr>
            <w:tcW w:w="3150" w:type="dxa"/>
            <w:vAlign w:val="top"/>
          </w:tcPr>
          <w:p w14:paraId="402F25AE">
            <w:r>
              <w:rPr>
                <w:rFonts w:hint="eastAsia"/>
                <w:sz w:val="18"/>
                <w:szCs w:val="18"/>
              </w:rPr>
              <w:t>随机对照试验（22 例，鼻窦手术）</w:t>
            </w:r>
          </w:p>
        </w:tc>
        <w:tc>
          <w:tcPr>
            <w:tcW w:w="3850" w:type="dxa"/>
            <w:vAlign w:val="top"/>
          </w:tcPr>
          <w:p w14:paraId="6F7A00D3">
            <w:r>
              <w:rPr>
                <w:rFonts w:hint="eastAsia"/>
                <w:sz w:val="18"/>
                <w:szCs w:val="18"/>
              </w:rPr>
              <w:t>患者个体化三维 CT 的理解得分明显更高</w:t>
            </w:r>
          </w:p>
        </w:tc>
      </w:tr>
      <w:tr w14:paraId="644840C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77A32675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Giehl-Brown 等（2023）</w:t>
            </w:r>
          </w:p>
        </w:tc>
        <w:tc>
          <w:tcPr>
            <w:tcW w:w="3150" w:type="dxa"/>
            <w:vAlign w:val="top"/>
          </w:tcPr>
          <w:p w14:paraId="75019171">
            <w:r>
              <w:rPr>
                <w:rFonts w:hint="eastAsia"/>
                <w:sz w:val="18"/>
                <w:szCs w:val="18"/>
              </w:rPr>
              <w:t>随机试点（40 例，肝脏手术）</w:t>
            </w:r>
          </w:p>
        </w:tc>
        <w:tc>
          <w:tcPr>
            <w:tcW w:w="3850" w:type="dxa"/>
            <w:vAlign w:val="top"/>
          </w:tcPr>
          <w:p w14:paraId="470E8CAB">
            <w:r>
              <w:rPr>
                <w:rFonts w:hint="eastAsia"/>
                <w:sz w:val="18"/>
                <w:szCs w:val="18"/>
              </w:rPr>
              <w:t>三维打印模型让病灶范围理解从 70% 升到 100%</w:t>
            </w:r>
          </w:p>
        </w:tc>
      </w:tr>
      <w:tr w14:paraId="1C2CB7F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45EA1B33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Miller 等（2024）</w:t>
            </w:r>
          </w:p>
        </w:tc>
        <w:tc>
          <w:tcPr>
            <w:tcW w:w="3150" w:type="dxa"/>
            <w:vAlign w:val="top"/>
          </w:tcPr>
          <w:p w14:paraId="65838A53">
            <w:r>
              <w:rPr>
                <w:rFonts w:hint="eastAsia"/>
                <w:sz w:val="18"/>
                <w:szCs w:val="18"/>
              </w:rPr>
              <w:t>随机对照试验（100 例，肾脏）</w:t>
            </w:r>
          </w:p>
        </w:tc>
        <w:tc>
          <w:tcPr>
            <w:tcW w:w="3850" w:type="dxa"/>
            <w:vAlign w:val="top"/>
          </w:tcPr>
          <w:p w14:paraId="263FAF7D">
            <w:r>
              <w:rPr>
                <w:rFonts w:hint="eastAsia"/>
                <w:sz w:val="18"/>
                <w:szCs w:val="18"/>
              </w:rPr>
              <w:t>通用 AR 工具与"讨论 + 影像 + 手绘图"无差异，仅满意度更高</w:t>
            </w:r>
          </w:p>
        </w:tc>
      </w:tr>
      <w:tr w14:paraId="71AB9C1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4D113EA7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Chamberland 等（2024）</w:t>
            </w:r>
          </w:p>
        </w:tc>
        <w:tc>
          <w:tcPr>
            <w:tcW w:w="3150" w:type="dxa"/>
            <w:vAlign w:val="top"/>
          </w:tcPr>
          <w:p w14:paraId="6D7B61CE">
            <w:r>
              <w:rPr>
                <w:rFonts w:hint="eastAsia"/>
                <w:sz w:val="18"/>
                <w:szCs w:val="18"/>
              </w:rPr>
              <w:t>随机对照试验（101 例，儿童）</w:t>
            </w:r>
          </w:p>
        </w:tc>
        <w:tc>
          <w:tcPr>
            <w:tcW w:w="3850" w:type="dxa"/>
            <w:vAlign w:val="top"/>
          </w:tcPr>
          <w:p w14:paraId="3F55E31D">
            <w:r>
              <w:rPr>
                <w:rFonts w:hint="eastAsia"/>
                <w:sz w:val="18"/>
                <w:szCs w:val="18"/>
              </w:rPr>
              <w:t>AR 虚拟角色能降低入室时焦虑，但麻醉诱导时差别消失</w:t>
            </w:r>
          </w:p>
        </w:tc>
      </w:tr>
      <w:tr w14:paraId="42EE54F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792F12B6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Fletcher 等（2025）</w:t>
            </w:r>
          </w:p>
        </w:tc>
        <w:tc>
          <w:tcPr>
            <w:tcW w:w="3150" w:type="dxa"/>
            <w:vAlign w:val="top"/>
          </w:tcPr>
          <w:p w14:paraId="3CF159EF">
            <w:r>
              <w:rPr>
                <w:rFonts w:hint="eastAsia"/>
                <w:sz w:val="18"/>
                <w:szCs w:val="18"/>
              </w:rPr>
              <w:t>随机可行性研究（51 例，直肠癌）</w:t>
            </w:r>
          </w:p>
        </w:tc>
        <w:tc>
          <w:tcPr>
            <w:tcW w:w="3850" w:type="dxa"/>
            <w:vAlign w:val="top"/>
          </w:tcPr>
          <w:p w14:paraId="3848A7FF">
            <w:r>
              <w:rPr>
                <w:rFonts w:hint="eastAsia"/>
                <w:sz w:val="18"/>
                <w:szCs w:val="18"/>
              </w:rPr>
              <w:t>个体化三维建模降低决策困难，医患目标一致率 84% vs 60%</w:t>
            </w:r>
          </w:p>
        </w:tc>
      </w:tr>
      <w:tr w14:paraId="6064567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1BEE38F7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Simon 等（2024）</w:t>
            </w:r>
          </w:p>
        </w:tc>
        <w:tc>
          <w:tcPr>
            <w:tcW w:w="3150" w:type="dxa"/>
            <w:vAlign w:val="top"/>
          </w:tcPr>
          <w:p w14:paraId="1557DDFF">
            <w:r>
              <w:rPr>
                <w:rFonts w:hint="eastAsia"/>
                <w:sz w:val="18"/>
                <w:szCs w:val="18"/>
              </w:rPr>
              <w:t>随机概念验证（50 例，骨科）</w:t>
            </w:r>
          </w:p>
        </w:tc>
        <w:tc>
          <w:tcPr>
            <w:tcW w:w="3850" w:type="dxa"/>
            <w:vAlign w:val="top"/>
          </w:tcPr>
          <w:p w14:paraId="5E631B4A">
            <w:r>
              <w:rPr>
                <w:rFonts w:hint="eastAsia"/>
                <w:sz w:val="18"/>
                <w:szCs w:val="18"/>
              </w:rPr>
              <w:t>VR 影片把术前谈话从 665 秒压缩到 93 秒，人均省 11—40 美元</w:t>
            </w:r>
          </w:p>
        </w:tc>
      </w:tr>
      <w:tr w14:paraId="1D5BC76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1B34FC21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Yuan 等（2026）</w:t>
            </w:r>
          </w:p>
        </w:tc>
        <w:tc>
          <w:tcPr>
            <w:tcW w:w="3150" w:type="dxa"/>
            <w:vAlign w:val="top"/>
          </w:tcPr>
          <w:p w14:paraId="59DE2182">
            <w:r>
              <w:rPr>
                <w:rFonts w:hint="eastAsia"/>
                <w:sz w:val="18"/>
                <w:szCs w:val="18"/>
              </w:rPr>
              <w:t>随机对照试验（62 例，神经外科）</w:t>
            </w:r>
          </w:p>
        </w:tc>
        <w:tc>
          <w:tcPr>
            <w:tcW w:w="3850" w:type="dxa"/>
            <w:vAlign w:val="top"/>
          </w:tcPr>
          <w:p w14:paraId="6C6C57AC">
            <w:r>
              <w:rPr>
                <w:rFonts w:hint="eastAsia"/>
                <w:sz w:val="18"/>
                <w:szCs w:val="18"/>
              </w:rPr>
              <w:t>AR 优于实体模型仅体现在客观理解，主观感受与焦虑无差异</w:t>
            </w:r>
          </w:p>
        </w:tc>
      </w:tr>
      <w:tr w14:paraId="4DCFD7F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0B7CD8C7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Lee 等（2022）</w:t>
            </w:r>
          </w:p>
        </w:tc>
        <w:tc>
          <w:tcPr>
            <w:tcW w:w="3150" w:type="dxa"/>
            <w:vAlign w:val="top"/>
          </w:tcPr>
          <w:p w14:paraId="04387DAF">
            <w:r>
              <w:rPr>
                <w:rFonts w:hint="eastAsia"/>
                <w:sz w:val="18"/>
                <w:szCs w:val="18"/>
              </w:rPr>
              <w:t>单臂试点（24 例，神经外科）</w:t>
            </w:r>
          </w:p>
        </w:tc>
        <w:tc>
          <w:tcPr>
            <w:tcW w:w="3850" w:type="dxa"/>
            <w:vAlign w:val="top"/>
          </w:tcPr>
          <w:p w14:paraId="3406F30C">
            <w:r>
              <w:rPr>
                <w:rFonts w:hint="eastAsia"/>
                <w:sz w:val="18"/>
                <w:szCs w:val="18"/>
              </w:rPr>
              <w:t>360° AR 平台可行、患者接受度高，但无对照组</w:t>
            </w:r>
          </w:p>
        </w:tc>
      </w:tr>
    </w:tbl>
    <w:p w14:paraId="26C7B330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28"/>
          <w:szCs w:val="28"/>
        </w:rPr>
        <w:t>参考文献</w:t>
      </w:r>
    </w:p>
    <w:p w14:paraId="1581D93A">
      <w:pPr>
        <w:spacing w:before="0"/>
        <w:ind w:left="420" w:hanging="420"/>
      </w:pPr>
      <w:r>
        <w:t xml:space="preserve">Chamberland, C., Bransi, M., Boivin, A., Jacques, S., Gagnon, J., &amp; Tremblay, S. (2024). The effect of augmented reality on preoperative anxiety in children and adolescents: A randomized controlled trial. </w:t>
      </w:r>
      <w:r>
        <w:rPr>
          <w:i/>
        </w:rPr>
        <w:t>Paediatric Anaesthesia</w:t>
      </w:r>
      <w:r>
        <w:t xml:space="preserve">, </w:t>
      </w:r>
      <w:r>
        <w:rPr>
          <w:i/>
        </w:rPr>
        <w:t>34</w:t>
      </w:r>
      <w:r>
        <w:t xml:space="preserve">(2), 153–159. </w:t>
      </w:r>
      <w:r>
        <w:rPr>
          <w:color w:val="0000FF"/>
        </w:rPr>
        <w:t>https://doi.org/10.1111/pan.14793</w:t>
      </w:r>
    </w:p>
    <w:p w14:paraId="4347AB26">
      <w:pPr>
        <w:spacing w:before="0"/>
        <w:ind w:left="420" w:hanging="420"/>
      </w:pPr>
      <w:r>
        <w:t xml:space="preserve">Evans, T., Turna, A., Stringfellow, T. D., &amp; Jones, G. G. (2025). Uses of augmented reality in surgical consent and patient education – A systematic review. </w:t>
      </w:r>
      <w:r>
        <w:rPr>
          <w:i/>
        </w:rPr>
        <w:t>PLOS Digital Health</w:t>
      </w:r>
      <w:r>
        <w:t xml:space="preserve">, </w:t>
      </w:r>
      <w:r>
        <w:rPr>
          <w:i/>
        </w:rPr>
        <w:t>4</w:t>
      </w:r>
      <w:r>
        <w:t xml:space="preserve">(4), e0000777. </w:t>
      </w:r>
      <w:r>
        <w:rPr>
          <w:color w:val="0000FF"/>
        </w:rPr>
        <w:t>https://doi.org/10.1371/journal.pdig.0000777</w:t>
      </w:r>
    </w:p>
    <w:p w14:paraId="0F5A6DD4">
      <w:pPr>
        <w:spacing w:before="0"/>
        <w:ind w:left="420" w:hanging="420"/>
      </w:pPr>
      <w:r>
        <w:t xml:space="preserve">Fletcher, J. A., Corr, A., Drami, I., Taylor, C., Hona, T., Burling, D., Lung, P., Burns, E. M., &amp; Jenkins, J. T. (2025). Enhancing decision-making and patient comprehension in complex rectal cancer surgery through personalized three-dimensional imaging: Randomized feasibility study. </w:t>
      </w:r>
      <w:r>
        <w:rPr>
          <w:i/>
        </w:rPr>
        <w:t>British Journal of Surgery</w:t>
      </w:r>
      <w:r>
        <w:t xml:space="preserve">, </w:t>
      </w:r>
      <w:r>
        <w:rPr>
          <w:i/>
        </w:rPr>
        <w:t>112</w:t>
      </w:r>
      <w:r>
        <w:t>(6), znaf116.</w:t>
      </w:r>
      <w:r>
        <w:rPr>
          <w:color w:val="0000FF"/>
        </w:rPr>
        <w:t xml:space="preserve"> https://doi.org/10.1093/bjs/znaf116</w:t>
      </w:r>
    </w:p>
    <w:p w14:paraId="3D62BE20">
      <w:pPr>
        <w:spacing w:before="0"/>
        <w:ind w:left="420" w:hanging="420"/>
      </w:pPr>
      <w:r>
        <w:t xml:space="preserve">Galmarini, E., Marciano, L., &amp; Schulz, P. J. (2024). The effectiveness of visual-based interventions on health literacy in health care: a systematic review and meta-analysis. </w:t>
      </w:r>
      <w:r>
        <w:rPr>
          <w:i/>
        </w:rPr>
        <w:t>BMC Health Services Research</w:t>
      </w:r>
      <w:r>
        <w:t xml:space="preserve">, </w:t>
      </w:r>
      <w:r>
        <w:rPr>
          <w:i/>
        </w:rPr>
        <w:t>24</w:t>
      </w:r>
      <w:r>
        <w:t>(1), 718</w:t>
      </w:r>
      <w:r>
        <w:rPr>
          <w:color w:val="0000FF"/>
        </w:rPr>
        <w:t>. https://doi.org/10.1186/s12913-024-11138-1</w:t>
      </w:r>
    </w:p>
    <w:p w14:paraId="17A57D5A">
      <w:pPr>
        <w:spacing w:before="0"/>
        <w:ind w:left="420" w:hanging="420"/>
      </w:pPr>
      <w:r>
        <w:t xml:space="preserve">Giehl-Brown, E., Dennler, S., Garcia, S. A., Seppelt, D., Oehme, F., Schweipert, J., Weitz, J., &amp; Riediger, C. (2023). 3D liver model-based surgical education improves preoperative decision-making and patient satisfaction-a randomized pilot trial. </w:t>
      </w:r>
      <w:r>
        <w:rPr>
          <w:i/>
        </w:rPr>
        <w:t>Surgical Endoscopy</w:t>
      </w:r>
      <w:r>
        <w:t xml:space="preserve">, </w:t>
      </w:r>
      <w:r>
        <w:rPr>
          <w:i/>
        </w:rPr>
        <w:t>37</w:t>
      </w:r>
      <w:r>
        <w:t xml:space="preserve">(6), 4545–4554. </w:t>
      </w:r>
      <w:r>
        <w:rPr>
          <w:color w:val="0000FF"/>
        </w:rPr>
        <w:t>https://doi.org/10.1007/s00464-023-09915-w</w:t>
      </w:r>
    </w:p>
    <w:p w14:paraId="4C3FB554">
      <w:pPr>
        <w:spacing w:before="0"/>
        <w:ind w:left="420" w:hanging="420"/>
      </w:pPr>
      <w:r>
        <w:t xml:space="preserve">Glaser, J., Nouri, S., Fernandez, A., Sudore, R. L., Schillinger, D., Klein-Fedyshin, M., &amp; Schenker, Y. (2020). Interventions to improve patient comprehension in informed consent for medical and surgical procedures: An updated systematic review. </w:t>
      </w:r>
      <w:r>
        <w:rPr>
          <w:i/>
        </w:rPr>
        <w:t>Medical Decision Making</w:t>
      </w:r>
      <w:r>
        <w:t xml:space="preserve">, </w:t>
      </w:r>
      <w:r>
        <w:rPr>
          <w:i/>
        </w:rPr>
        <w:t>40</w:t>
      </w:r>
      <w:r>
        <w:t xml:space="preserve">(2), 119–143. </w:t>
      </w:r>
      <w:r>
        <w:rPr>
          <w:color w:val="0000FF"/>
        </w:rPr>
        <w:t>https://doi.org/10.1177/0272989X19896348</w:t>
      </w:r>
    </w:p>
    <w:p w14:paraId="08393FD6">
      <w:pPr>
        <w:spacing w:before="0"/>
        <w:ind w:left="420" w:hanging="420"/>
        <w:rPr>
          <w:color w:val="0000FF"/>
        </w:rPr>
      </w:pPr>
      <w:r>
        <w:t xml:space="preserve">Kiernan, A., Fahey, B., Guraya, S. S., Boland, F., Moneley, D., Doyle, F., &amp; Harkin, D. W. (2023). Digital technology in informed consent for surgery: Systematic review. </w:t>
      </w:r>
      <w:r>
        <w:rPr>
          <w:i/>
        </w:rPr>
        <w:t>BJS Open</w:t>
      </w:r>
      <w:r>
        <w:t xml:space="preserve">, </w:t>
      </w:r>
      <w:r>
        <w:rPr>
          <w:i/>
        </w:rPr>
        <w:t>7</w:t>
      </w:r>
      <w:r>
        <w:t xml:space="preserve">(1), zrac159. </w:t>
      </w:r>
      <w:r>
        <w:rPr>
          <w:color w:val="0000FF"/>
        </w:rPr>
        <w:t>https://doi.org/10.1093/bjsopen/zrac159</w:t>
      </w:r>
    </w:p>
    <w:p w14:paraId="144D73D7">
      <w:pPr>
        <w:spacing w:before="0"/>
        <w:ind w:left="420" w:hanging="420"/>
      </w:pPr>
      <w:r>
        <w:t xml:space="preserve">Kornmann, J., Lorenz, P., Bonik, P., Affolter, A., Huber, L., Zaubitzer, L., Rotter, N., &amp; Scherl, C. (2026). "When patients see what the surgeon sees": 3D imaging creates new understanding in preoperative counseling for endoscopic sinus surgery. </w:t>
      </w:r>
      <w:r>
        <w:rPr>
          <w:i/>
        </w:rPr>
        <w:t>Acta Oto-Laryngologica</w:t>
      </w:r>
      <w:r>
        <w:t xml:space="preserve">, </w:t>
      </w:r>
      <w:r>
        <w:rPr>
          <w:i/>
        </w:rPr>
        <w:t>146</w:t>
      </w:r>
      <w:r>
        <w:t xml:space="preserve">(8), 988–996. </w:t>
      </w:r>
      <w:r>
        <w:rPr>
          <w:color w:val="0000FF"/>
        </w:rPr>
        <w:t>https://doi.org/10.1080/00016489.2026.2656278</w:t>
      </w:r>
    </w:p>
    <w:p w14:paraId="28906E0B">
      <w:pPr>
        <w:spacing w:before="0"/>
        <w:ind w:left="420" w:hanging="420"/>
      </w:pPr>
      <w:r>
        <w:t xml:space="preserve">Lee, J. J., Klepcha, M., Wong, M., Dang, P. N., Sadrameli, S. S., &amp; Britz, G. W. (2022). The first pilot study of an interactive, 360° augmented reality visualization platform for neurosurgical patient education: A case series. </w:t>
      </w:r>
      <w:r>
        <w:rPr>
          <w:i/>
        </w:rPr>
        <w:t>Operative Neurosurgery</w:t>
      </w:r>
      <w:r>
        <w:t xml:space="preserve">, </w:t>
      </w:r>
      <w:r>
        <w:rPr>
          <w:i/>
        </w:rPr>
        <w:t>23</w:t>
      </w:r>
      <w:r>
        <w:t>(1), 53–59.</w:t>
      </w:r>
      <w:r>
        <w:rPr>
          <w:color w:val="0000FF"/>
        </w:rPr>
        <w:t xml:space="preserve"> https://doi.org/10.1227/ons.000000000000018</w:t>
      </w:r>
      <w:r>
        <w:t>6</w:t>
      </w:r>
    </w:p>
    <w:p w14:paraId="444BACD0">
      <w:pPr>
        <w:spacing w:before="0"/>
        <w:ind w:left="420" w:hanging="420"/>
      </w:pPr>
      <w:r>
        <w:t xml:space="preserve">Miller, C. A., Locke, R. A., Holck, H. W., Evans, H. J., Bhamber, T. P., Sinks, A. L., McGrath, L. G., Boselli, D. M., Clark, P. E., &amp; Roy, O. P. (2024). Evaluation of a novel augmented reality educational tool and its effects on patient experience: A randomized controlled trial. </w:t>
      </w:r>
      <w:r>
        <w:rPr>
          <w:i/>
        </w:rPr>
        <w:t>Indian Journal of Urology</w:t>
      </w:r>
      <w:r>
        <w:t xml:space="preserve">, </w:t>
      </w:r>
      <w:r>
        <w:rPr>
          <w:i/>
        </w:rPr>
        <w:t>40</w:t>
      </w:r>
      <w:r>
        <w:t xml:space="preserve">(1), 25–30. </w:t>
      </w:r>
      <w:r>
        <w:rPr>
          <w:color w:val="0000FF"/>
        </w:rPr>
        <w:t>https://doi.org/10.4103/iju.iju_191_23</w:t>
      </w:r>
    </w:p>
    <w:p w14:paraId="69876E84">
      <w:pPr>
        <w:spacing w:before="0"/>
        <w:ind w:left="420" w:hanging="420"/>
      </w:pPr>
      <w:r>
        <w:t xml:space="preserve">Perin, A., Galbiati, T. F., Ayadi, R., Gambatesa, E., Orena, E. F., Riker, N. I., Silberberg, H., Sgubin, D., Meling, T. R., &amp; DiMeco, F. (2021). Informed consent through 3D virtual reality: A randomized clinical trial. </w:t>
      </w:r>
      <w:r>
        <w:rPr>
          <w:i/>
        </w:rPr>
        <w:t>Acta Neurochirurgica</w:t>
      </w:r>
      <w:r>
        <w:t xml:space="preserve">, </w:t>
      </w:r>
      <w:r>
        <w:rPr>
          <w:i/>
        </w:rPr>
        <w:t>163</w:t>
      </w:r>
      <w:r>
        <w:t>(2), 301–308. https://doi.org/10.1007/s00701-020-04303-y</w:t>
      </w:r>
    </w:p>
    <w:p w14:paraId="38CE9E08">
      <w:pPr>
        <w:spacing w:before="0"/>
        <w:ind w:left="420" w:hanging="420"/>
      </w:pPr>
      <w:r>
        <w:t xml:space="preserve">Simon, S., Opfermann, P., Hofstaetter, J. G., &amp; Marhofer, P. (2024). Virtual reality-assisted informed consent for anesthesia: A prospective and randomized proof-of-concept study. </w:t>
      </w:r>
      <w:r>
        <w:rPr>
          <w:i/>
        </w:rPr>
        <w:t>Journal of Clinical Medicine</w:t>
      </w:r>
      <w:r>
        <w:t xml:space="preserve">, </w:t>
      </w:r>
      <w:r>
        <w:rPr>
          <w:i/>
        </w:rPr>
        <w:t>13</w:t>
      </w:r>
      <w:r>
        <w:t xml:space="preserve">(20), 6096. </w:t>
      </w:r>
      <w:r>
        <w:rPr>
          <w:color w:val="0000FF"/>
        </w:rPr>
        <w:t>https://doi.org/10.3390/jcm13206096</w:t>
      </w:r>
    </w:p>
    <w:p w14:paraId="371FBD0F">
      <w:pPr>
        <w:spacing w:before="0"/>
        <w:ind w:left="420" w:hanging="420"/>
      </w:pPr>
      <w:r>
        <w:t xml:space="preserve">Wehrkamp, K., Miksch, R. C., Polzer, H., Gilbert, F., Bühner, M., Holzapfel, B. M., Böcker, W., &amp; Neudeck, R. (2025). The impact of virtual-, augmented- and mixed reality during preoperative informed consent: A systematic review of the literature. </w:t>
      </w:r>
      <w:r>
        <w:rPr>
          <w:i/>
        </w:rPr>
        <w:t>Journal of Medical Systems</w:t>
      </w:r>
      <w:r>
        <w:t xml:space="preserve">, </w:t>
      </w:r>
      <w:r>
        <w:rPr>
          <w:i/>
        </w:rPr>
        <w:t>49</w:t>
      </w:r>
      <w:r>
        <w:t xml:space="preserve">(1), 89. </w:t>
      </w:r>
      <w:r>
        <w:rPr>
          <w:color w:val="0000FF"/>
        </w:rPr>
        <w:t>https://doi.org/10.1007/s10916-025-02217-9</w:t>
      </w:r>
    </w:p>
    <w:p w14:paraId="005E4B5D">
      <w:pPr>
        <w:spacing w:before="0"/>
        <w:ind w:left="420" w:hanging="420"/>
        <w:rPr>
          <w:color w:val="0000FF"/>
        </w:rPr>
      </w:pPr>
      <w:r>
        <w:t xml:space="preserve">Yuan, Z., Shi, Z., &amp; Wang, Z. (2026). The real-time support role of augmented reality technology in shared decision-making in neurosurgery under the SEGUE framework: Randomized controlled trial. </w:t>
      </w:r>
      <w:r>
        <w:rPr>
          <w:i/>
        </w:rPr>
        <w:t>Journal of Medical Internet Research</w:t>
      </w:r>
      <w:r>
        <w:t xml:space="preserve">, </w:t>
      </w:r>
      <w:r>
        <w:rPr>
          <w:i/>
        </w:rPr>
        <w:t>28</w:t>
      </w:r>
      <w:r>
        <w:t>, e87198.</w:t>
      </w:r>
      <w:r>
        <w:rPr>
          <w:color w:val="0000FF"/>
        </w:rPr>
        <w:t xml:space="preserve"> https://doi.org/10.2196/87198</w:t>
      </w:r>
    </w:p>
    <w:p w14:paraId="221563AC">
      <w:pPr>
        <w:spacing w:before="0"/>
        <w:ind w:left="420" w:hanging="420"/>
      </w:pPr>
    </w:p>
    <w:sectPr>
      <w:footerReference r:id="rId5" w:type="first"/>
      <w:footerReference r:id="rId3" w:type="default"/>
      <w:footerReference r:id="rId4" w:type="even"/>
      <w:pgMar w:top="1440" w:right="1580" w:bottom="1440" w:left="1580" w:header="720" w:footer="720" w:gutter="0"/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80250"/>
      <w:docPartObj>
        <w:docPartGallery w:val="AutoText"/>
      </w:docPartObj>
    </w:sdtPr>
    <w:sdtContent>
      <w:p w14:paraId="143B255F">
        <w:pPr>
          <w:framePr w:wrap="auto" w:vAnchor="text" w:hAnchor="margin" w:xAlign="center" w:y="1"/>
        </w:pPr>
        <w:r>
          <w:fldChar w:fldCharType="begin"/>
        </w:r>
        <w:r>
          <w:rPr>
            <w:rFonts w:ascii="Times New Roman" w:hAnsi="Times New Roman" w:eastAsia="Times New Roman" w:cs="Times New Roman"/>
            <w:sz w:val="18"/>
            <w:szCs w:val="18"/>
          </w:rPr>
          <w:instrText xml:space="preserve">PAGE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z w:val="18"/>
            <w:szCs w:val="18"/>
          </w:rPr>
          <w:t>1</w:t>
        </w:r>
        <w:r>
          <w:fldChar w:fldCharType="end"/>
        </w:r>
      </w:p>
    </w:sdtContent>
  </w:sdt>
  <w:p w14:paraId="2983247E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51345"/>
      <w:docPartObj>
        <w:docPartGallery w:val="AutoText"/>
      </w:docPartObj>
    </w:sdtPr>
    <w:sdtContent>
      <w:p w14:paraId="3F2D6624">
        <w:pPr>
          <w:framePr w:wrap="auto" w:vAnchor="text" w:hAnchor="margin" w:xAlign="center" w:y="1"/>
        </w:pPr>
        <w:r>
          <w:fldChar w:fldCharType="begin"/>
        </w:r>
        <w:r>
          <w:rPr>
            <w:rFonts w:ascii="Times New Roman" w:hAnsi="Times New Roman" w:eastAsia="Times New Roman" w:cs="Times New Roman"/>
            <w:sz w:val="18"/>
            <w:szCs w:val="18"/>
          </w:rPr>
          <w:instrText xml:space="preserve">PAGE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z w:val="18"/>
            <w:szCs w:val="18"/>
          </w:rPr>
          <w:t>1</w:t>
        </w:r>
        <w:r>
          <w:fldChar w:fldCharType="end"/>
        </w:r>
      </w:p>
    </w:sdtContent>
  </w:sdt>
  <w:p w14:paraId="70BD2527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80918"/>
      <w:docPartObj>
        <w:docPartGallery w:val="AutoText"/>
      </w:docPartObj>
    </w:sdtPr>
    <w:sdtContent>
      <w:p w14:paraId="4D152446">
        <w:pPr>
          <w:framePr w:wrap="auto" w:vAnchor="text" w:hAnchor="margin" w:xAlign="center" w:y="1"/>
        </w:pPr>
        <w:r>
          <w:fldChar w:fldCharType="begin"/>
        </w:r>
        <w:r>
          <w:rPr>
            <w:rFonts w:ascii="Times New Roman" w:hAnsi="Times New Roman" w:eastAsia="Times New Roman" w:cs="Times New Roman"/>
            <w:sz w:val="18"/>
            <w:szCs w:val="18"/>
          </w:rPr>
          <w:instrText xml:space="preserve">PAGE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z w:val="18"/>
            <w:szCs w:val="18"/>
          </w:rPr>
          <w:t>1</w:t>
        </w:r>
        <w:r>
          <w:fldChar w:fldCharType="end"/>
        </w:r>
      </w:p>
    </w:sdtContent>
  </w:sdt>
  <w:p w14:paraId="0E82EB45"/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47A238F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Asci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HAnsi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spacing w:before="240" w:after="120" w:line="360" w:lineRule="auto"/>
      <w:jc w:val="left"/>
      <w:outlineLvl w:val="0"/>
    </w:pPr>
    <w:rPr>
      <w:rFonts w:asciiTheme="minorAscii" w:hAnsiTheme="minorHAnsi" w:eastAsiaTheme="minorEastAsia" w:cstheme="minorBidi"/>
      <w:b/>
      <w:kern w:val="2"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9"/>
    <w:pPr>
      <w:keepNext/>
      <w:keepLines/>
      <w:spacing w:before="200" w:after="100" w:line="360" w:lineRule="auto"/>
      <w:jc w:val="left"/>
      <w:outlineLvl w:val="1"/>
    </w:pPr>
    <w:rPr>
      <w:rFonts w:asciiTheme="minorAscii" w:hAnsiTheme="minorHAnsi" w:eastAsiaTheme="minorEastAsia" w:cstheme="minorBidi"/>
      <w:b/>
      <w:kern w:val="2"/>
      <w:sz w:val="26"/>
      <w:szCs w:val="26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5069</Words>
  <Characters>8480</Characters>
  <TotalTime>2</TotalTime>
  <ScaleCrop>false</ScaleCrop>
  <LinksUpToDate>false</LinksUpToDate>
  <CharactersWithSpaces>9209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2026-10-28T20:40:00Z</dcterms:created>
  <dc:creator>ASUS</dc:creator>
  <cp:lastModifiedBy>April.白</cp:lastModifiedBy>
  <dcterms:modified xsi:type="dcterms:W3CDTF">2026-10-28T12:47:07Z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eyJoZGlkIjoiNWJjNTk1ZjRhYTViMzVjZTY1YzY2YjNmZmM1MzcxMGEiLCJ1c2VySWQiOiI5MDc3NTgxNzkifQ==</vt:lpwstr>
  </property>
  <property fmtid="{D5CDD505-2E9C-101B-9397-08002B2CF9AE}" pid="3" name="KSOProductBuildVer">
    <vt:lpwstr>2052-12.1.0.29161</vt:lpwstr>
  </property>
  <property fmtid="{D5CDD505-2E9C-101B-9397-08002B2CF9AE}" pid="4" name="ICV">
    <vt:lpwstr>A60D7DF499424D4BB8775082EFCC221A_12</vt:lpwstr>
  </property>
</Properties>
</file>