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FED GRANT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some concurrent powers that both the state and federal governments share. Congress can take national funds and pass them to states through grants, a process called fiscal federalism.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process has been used to incentivize or require addressing a certain issue, such as crime or safety. This also means that Congress can withhold funds from states until they comply.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BLOCK GRANTS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Block grants allow states to use the money in a broader way rather than just a specific sector.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Mid-Late 1800s: granted large sums of money to form militias post revolution.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Civil Rights Movement in 60/70: federal funding spoke volumes to local leaders. For example, the 1964 Civil Rights Act withheld funding for schools who did not desegregate.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FED MANDATES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States get money under the condition that some form of guidelines/rules are followed by states.This has been used in situations such as the Americans with Disabilities Act, National Voter Registration Act, and Clean Air Act.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these cases the federal government used this funding as leverage. This works like grants but states MUST act and execute the feds’ instructions.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 OF THIS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an example of Federalism; while states have budgets of their own Congress and the feds have hands on state budgets too.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