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Marco Integral de Estrategia Tecnológica: Ejes de Ejecución, Defensa, Normativa, Gobernanza y Formación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reporte presenta una visión técnica y normativa de los pilares fundamentales que sustentan la infraestructura y gestión tecnológica de una organización moderna, estructurado bajo el orden jerárquico solicitado.</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Proyectos (Eje de Ejecución)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ejecución técnica constituye la capacidad operativa de la organización para transformar requerimientos en soluciones tangibles mediante metodologías estructuradas y arquitecturas modernas.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PMO: Metodologías Cascada, Ágil e Híbridos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Oficina de Gestión de Proyectos (PMO) debe orquestar diversos marcos de trabajo según la naturaleza del proyecto. La metodología </w:t>
      </w:r>
      <w:r w:rsidDel="00000000" w:rsidR="00000000" w:rsidRPr="00000000">
        <w:rPr>
          <w:rFonts w:ascii="Google Sans" w:cs="Google Sans" w:eastAsia="Google Sans" w:hAnsi="Google Sans"/>
          <w:b w:val="1"/>
          <w:bCs w:val="1"/>
          <w:color w:val="1f1f1f"/>
          <w:rtl w:val="0"/>
        </w:rPr>
        <w:t xml:space="preserve">Cascada (Waterfall)</w:t>
      </w:r>
      <w:r w:rsidDel="00000000" w:rsidR="00000000" w:rsidRPr="00000000">
        <w:rPr>
          <w:rFonts w:ascii="Google Sans" w:cs="Google Sans" w:eastAsia="Google Sans" w:hAnsi="Google Sans"/>
          <w:color w:val="1f1f1f"/>
          <w:rtl w:val="0"/>
        </w:rPr>
        <w:t xml:space="preserve"> se caracteriza por un flujo lineal y secuencial (Requerimientos &gt; Diseño &gt; Implementación &gt; Verificación &gt; Despliegue), siendo ideal para entornos con requisitos fijos y baja tolerancia al cambio.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Por el contrario, las metodologías </w:t>
      </w:r>
      <w:r w:rsidDel="00000000" w:rsidR="00000000" w:rsidRPr="00000000">
        <w:rPr>
          <w:rFonts w:ascii="Google Sans" w:cs="Google Sans" w:eastAsia="Google Sans" w:hAnsi="Google Sans"/>
          <w:b w:val="1"/>
          <w:bCs w:val="1"/>
          <w:color w:val="1f1f1f"/>
          <w:rtl w:val="0"/>
        </w:rPr>
        <w:t xml:space="preserve">Ágiles</w:t>
      </w:r>
      <w:r w:rsidDel="00000000" w:rsidR="00000000" w:rsidRPr="00000000">
        <w:rPr>
          <w:rFonts w:ascii="Google Sans" w:cs="Google Sans" w:eastAsia="Google Sans" w:hAnsi="Google Sans"/>
          <w:color w:val="1f1f1f"/>
          <w:rtl w:val="0"/>
        </w:rPr>
        <w:t xml:space="preserve"> (como Scrum o Kanban) proponen ciclos iterativos e incrementales que priorizan la retroalimentación continua del cliente y la adaptabilidad.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Los enfoques </w:t>
      </w:r>
      <w:r w:rsidDel="00000000" w:rsidR="00000000" w:rsidRPr="00000000">
        <w:rPr>
          <w:rFonts w:ascii="Google Sans" w:cs="Google Sans" w:eastAsia="Google Sans" w:hAnsi="Google Sans"/>
          <w:b w:val="1"/>
          <w:bCs w:val="1"/>
          <w:color w:val="1f1f1f"/>
          <w:rtl w:val="0"/>
        </w:rPr>
        <w:t xml:space="preserve">Híbridos (Wagile)</w:t>
      </w:r>
      <w:r w:rsidDel="00000000" w:rsidR="00000000" w:rsidRPr="00000000">
        <w:rPr>
          <w:rFonts w:ascii="Google Sans" w:cs="Google Sans" w:eastAsia="Google Sans" w:hAnsi="Google Sans"/>
          <w:color w:val="1f1f1f"/>
          <w:rtl w:val="0"/>
        </w:rPr>
        <w:t xml:space="preserve"> combinan la planificación y gobernanza de cascada con la flexibilidad de ejecución ágil en las fases de desarrollo, optimizando la predictibilidad y la velocidad de entrega.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Analítica y Gobierno de Datos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gobierno de datos actúa como el eje central (hub) que conecta las disciplinas de gestión de información. Bajo el marco </w:t>
      </w:r>
      <w:r w:rsidDel="00000000" w:rsidR="00000000" w:rsidRPr="00000000">
        <w:rPr>
          <w:rFonts w:ascii="Google Sans" w:cs="Google Sans" w:eastAsia="Google Sans" w:hAnsi="Google Sans"/>
          <w:b w:val="1"/>
          <w:bCs w:val="1"/>
          <w:color w:val="1f1f1f"/>
          <w:rtl w:val="0"/>
        </w:rPr>
        <w:t xml:space="preserve">DAMA-DMBOK®</w:t>
      </w:r>
      <w:r w:rsidDel="00000000" w:rsidR="00000000" w:rsidRPr="00000000">
        <w:rPr>
          <w:rFonts w:ascii="Google Sans" w:cs="Google Sans" w:eastAsia="Google Sans" w:hAnsi="Google Sans"/>
          <w:color w:val="1f1f1f"/>
          <w:rtl w:val="0"/>
        </w:rPr>
        <w:t xml:space="preserve">, se establecen 11 áreas de conocimiento, destacando la Arquitectura, Seguridad y Calidad de Datos como pilares para asegurar que la información sea un activo confiable.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Complementariamente, el estándar </w:t>
      </w:r>
      <w:r w:rsidDel="00000000" w:rsidR="00000000" w:rsidRPr="00000000">
        <w:rPr>
          <w:rFonts w:ascii="Google Sans" w:cs="Google Sans" w:eastAsia="Google Sans" w:hAnsi="Google Sans"/>
          <w:b w:val="1"/>
          <w:bCs w:val="1"/>
          <w:color w:val="1f1f1f"/>
          <w:rtl w:val="0"/>
        </w:rPr>
        <w:t xml:space="preserve">ISO/IEC 38505-1</w:t>
      </w:r>
      <w:r w:rsidDel="00000000" w:rsidR="00000000" w:rsidRPr="00000000">
        <w:rPr>
          <w:rFonts w:ascii="Google Sans" w:cs="Google Sans" w:eastAsia="Google Sans" w:hAnsi="Google Sans"/>
          <w:color w:val="1f1f1f"/>
          <w:rtl w:val="0"/>
        </w:rPr>
        <w:t xml:space="preserve"> proporciona directrices para que los órganos de gobierno dirijan y monitoreen el uso de los datos, enfocándose en la creación de valor, la gestión de riesgos y el cumplimiento normativo mediante principios de responsabilidad y transparencia.</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Fábrica de SW (Software)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de fábrica de software industrializa el desarrollo mediante procesos repetibles y medibles. La norma </w:t>
      </w:r>
      <w:r w:rsidDel="00000000" w:rsidR="00000000" w:rsidRPr="00000000">
        <w:rPr>
          <w:rFonts w:ascii="Google Sans" w:cs="Google Sans" w:eastAsia="Google Sans" w:hAnsi="Google Sans"/>
          <w:b w:val="1"/>
          <w:bCs w:val="1"/>
          <w:color w:val="1f1f1f"/>
          <w:rtl w:val="0"/>
        </w:rPr>
        <w:t xml:space="preserve">ISO/IEC 12207</w:t>
      </w:r>
      <w:r w:rsidDel="00000000" w:rsidR="00000000" w:rsidRPr="00000000">
        <w:rPr>
          <w:rFonts w:ascii="Google Sans" w:cs="Google Sans" w:eastAsia="Google Sans" w:hAnsi="Google Sans"/>
          <w:color w:val="1f1f1f"/>
          <w:rtl w:val="0"/>
        </w:rPr>
        <w:t xml:space="preserve"> define los procesos del ciclo de vida del software, clasificándolos en primarios (desarrollo, operación, mantenimiento), de soporte (aseguramiento de calidad, validación) y organizacionales. Para garantizar la madurez de estos procesos, las organizaciones utilizan el modelo </w:t>
      </w:r>
      <w:r w:rsidDel="00000000" w:rsidR="00000000" w:rsidRPr="00000000">
        <w:rPr>
          <w:rFonts w:ascii="Google Sans" w:cs="Google Sans" w:eastAsia="Google Sans" w:hAnsi="Google Sans"/>
          <w:b w:val="1"/>
          <w:bCs w:val="1"/>
          <w:color w:val="1f1f1f"/>
          <w:rtl w:val="0"/>
        </w:rPr>
        <w:t xml:space="preserve">CMMI (Capability Maturity Model Integration)</w:t>
      </w:r>
      <w:r w:rsidDel="00000000" w:rsidR="00000000" w:rsidRPr="00000000">
        <w:rPr>
          <w:rFonts w:ascii="Google Sans" w:cs="Google Sans" w:eastAsia="Google Sans" w:hAnsi="Google Sans"/>
          <w:color w:val="1f1f1f"/>
          <w:rtl w:val="0"/>
        </w:rPr>
        <w:t xml:space="preserve">, que permite escalar desde procesos iniciales ad-hoc hasta niveles de optimización continua basados en métricas cuantitativas de calidad y productividad.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Infraestructura Hiperconvergente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infraestructura hiperconvergente (HCI) unifica los recursos mediante software, eliminando los silos de hardware tradicionales.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Servers (Servidores):</w:t>
      </w:r>
      <w:r w:rsidDel="00000000" w:rsidR="00000000" w:rsidRPr="00000000">
        <w:rPr>
          <w:rFonts w:ascii="Google Sans" w:cs="Google Sans" w:eastAsia="Google Sans" w:hAnsi="Google Sans"/>
          <w:color w:val="1f1f1f"/>
          <w:rtl w:val="0"/>
        </w:rPr>
        <w:t xml:space="preserve"> La arquitectura se basa en nodos x86 estándar que integran CPU y memoria, permitiendo un escalado horizontal (scale-out) donde cada nuevo servidor añade capacidad de procesamiento y almacenamiento al pool unificado.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Networking (Redes):</w:t>
      </w:r>
      <w:r w:rsidDel="00000000" w:rsidR="00000000" w:rsidRPr="00000000">
        <w:rPr>
          <w:rFonts w:ascii="Google Sans" w:cs="Google Sans" w:eastAsia="Google Sans" w:hAnsi="Google Sans"/>
          <w:color w:val="1f1f1f"/>
          <w:rtl w:val="0"/>
        </w:rPr>
        <w:t xml:space="preserve"> Las redes en HCI se definen por software (SDN) y suelen adoptar topologías </w:t>
      </w:r>
      <w:r w:rsidDel="00000000" w:rsidR="00000000" w:rsidRPr="00000000">
        <w:rPr>
          <w:rFonts w:ascii="Google Sans" w:cs="Google Sans" w:eastAsia="Google Sans" w:hAnsi="Google Sans"/>
          <w:b w:val="1"/>
          <w:bCs w:val="1"/>
          <w:color w:val="1f1f1f"/>
          <w:rtl w:val="0"/>
        </w:rPr>
        <w:t xml:space="preserve">Leaf-Spine</w:t>
      </w:r>
      <w:r w:rsidDel="00000000" w:rsidR="00000000" w:rsidRPr="00000000">
        <w:rPr>
          <w:rFonts w:ascii="Google Sans" w:cs="Google Sans" w:eastAsia="Google Sans" w:hAnsi="Google Sans"/>
          <w:color w:val="1f1f1f"/>
          <w:rtl w:val="0"/>
        </w:rPr>
        <w:t xml:space="preserve"> (Clos) de dos capas. En esta configuración, cada interruptor "Leaf" (acceso) se conecta a todos los interruptores "Spine" (troncal), garantizando una latencia predecible y eliminando cuellos de botella para el tráfico de servidor a servidor (Este-Oeste). Se recomiendan enlaces de 25 GbE o superiores para el tráfico del clúster.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Computing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Según el estándar </w:t>
      </w:r>
      <w:r w:rsidDel="00000000" w:rsidR="00000000" w:rsidRPr="00000000">
        <w:rPr>
          <w:rFonts w:ascii="Google Sans" w:cs="Google Sans" w:eastAsia="Google Sans" w:hAnsi="Google Sans"/>
          <w:b w:val="1"/>
          <w:bCs w:val="1"/>
          <w:color w:val="1f1f1f"/>
          <w:rtl w:val="0"/>
        </w:rPr>
        <w:t xml:space="preserve">ISO/IEC 17788</w:t>
      </w:r>
      <w:r w:rsidDel="00000000" w:rsidR="00000000" w:rsidRPr="00000000">
        <w:rPr>
          <w:rFonts w:ascii="Google Sans" w:cs="Google Sans" w:eastAsia="Google Sans" w:hAnsi="Google Sans"/>
          <w:color w:val="1f1f1f"/>
          <w:rtl w:val="0"/>
        </w:rPr>
        <w:t xml:space="preserve"> (equivalente al NIST SP 800-145), la computación en la nube se define por características clave como el autoservicio bajo demanda, acceso ubicuo a la red, elasticidad rápida y servicio medido. Los modelos de despliegue incluyen nubes públicas, privadas e </w:t>
      </w:r>
      <w:r w:rsidDel="00000000" w:rsidR="00000000" w:rsidRPr="00000000">
        <w:rPr>
          <w:rFonts w:ascii="Google Sans" w:cs="Google Sans" w:eastAsia="Google Sans" w:hAnsi="Google Sans"/>
          <w:b w:val="1"/>
          <w:bCs w:val="1"/>
          <w:color w:val="1f1f1f"/>
          <w:rtl w:val="0"/>
        </w:rPr>
        <w:t xml:space="preserve">híbridas</w:t>
      </w:r>
      <w:r w:rsidDel="00000000" w:rsidR="00000000" w:rsidRPr="00000000">
        <w:rPr>
          <w:rFonts w:ascii="Google Sans" w:cs="Google Sans" w:eastAsia="Google Sans" w:hAnsi="Google Sans"/>
          <w:color w:val="1f1f1f"/>
          <w:rtl w:val="0"/>
        </w:rPr>
        <w:t xml:space="preserve">, estas últimas permitiendo la portabilidad de cargas de trabajo entre infraestructuras locales y servicios externos para optimizar costos y cumplimiento.</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Ciberseguridad (Eje de Defensa)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eje de defensa se centra en la protección activa y la respuesta inmediata ante amenazas digitales mediante tecnologías de visibilidad profunda.</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EDR / XDR: Detección y respuesta en puntos finales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soluciones </w:t>
      </w:r>
      <w:r w:rsidDel="00000000" w:rsidR="00000000" w:rsidRPr="00000000">
        <w:rPr>
          <w:rFonts w:ascii="Google Sans" w:cs="Google Sans" w:eastAsia="Google Sans" w:hAnsi="Google Sans"/>
          <w:b w:val="1"/>
          <w:bCs w:val="1"/>
          <w:color w:val="1f1f1f"/>
          <w:rtl w:val="0"/>
        </w:rPr>
        <w:t xml:space="preserve">EDR (Endpoint Detection and Response)</w:t>
      </w:r>
      <w:r w:rsidDel="00000000" w:rsidR="00000000" w:rsidRPr="00000000">
        <w:rPr>
          <w:rFonts w:ascii="Google Sans" w:cs="Google Sans" w:eastAsia="Google Sans" w:hAnsi="Google Sans"/>
          <w:color w:val="1f1f1f"/>
          <w:rtl w:val="0"/>
        </w:rPr>
        <w:t xml:space="preserve"> monitorizan dispositivos finales (servidores, laptops) para detectar comportamientos anómalos mediante indicadores de compromiso (IOC).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El </w:t>
      </w:r>
      <w:r w:rsidDel="00000000" w:rsidR="00000000" w:rsidRPr="00000000">
        <w:rPr>
          <w:rFonts w:ascii="Google Sans" w:cs="Google Sans" w:eastAsia="Google Sans" w:hAnsi="Google Sans"/>
          <w:b w:val="1"/>
          <w:bCs w:val="1"/>
          <w:color w:val="1f1f1f"/>
          <w:rtl w:val="0"/>
        </w:rPr>
        <w:t xml:space="preserve">XDR (Extended Detection and Response)</w:t>
      </w:r>
      <w:r w:rsidDel="00000000" w:rsidR="00000000" w:rsidRPr="00000000">
        <w:rPr>
          <w:rFonts w:ascii="Google Sans" w:cs="Google Sans" w:eastAsia="Google Sans" w:hAnsi="Google Sans"/>
          <w:color w:val="1f1f1f"/>
          <w:rtl w:val="0"/>
        </w:rPr>
        <w:t xml:space="preserve"> evoluciona este concepto integrando telemetría de múltiples capas, incluyendo red, nube y correo electrónico, para proporcionar una respuesta unificada y automatizada ante ataques complejos que atraviesan diferentes dominios.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Firewalls y Seguridad de Red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Basándose en las directrices de la </w:t>
      </w:r>
      <w:r w:rsidDel="00000000" w:rsidR="00000000" w:rsidRPr="00000000">
        <w:rPr>
          <w:rFonts w:ascii="Google Sans" w:cs="Google Sans" w:eastAsia="Google Sans" w:hAnsi="Google Sans"/>
          <w:b w:val="1"/>
          <w:bCs w:val="1"/>
          <w:color w:val="1f1f1f"/>
          <w:rtl w:val="0"/>
        </w:rPr>
        <w:t xml:space="preserve">NIST SP 800-41 Rev 1</w:t>
      </w:r>
      <w:r w:rsidDel="00000000" w:rsidR="00000000" w:rsidRPr="00000000">
        <w:rPr>
          <w:rFonts w:ascii="Google Sans" w:cs="Google Sans" w:eastAsia="Google Sans" w:hAnsi="Google Sans"/>
          <w:color w:val="1f1f1f"/>
          <w:rtl w:val="0"/>
        </w:rPr>
        <w:t xml:space="preserve">, los firewalls deben implementarse en arquitecturas de capas. Destacan los firewalls de inspección de estado (Stateful), que monitorizan el contexto de las conexiones, y los firewalls de nueva generación (NGFW) que realizan inspección profunda de paquetes.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 arquitectura de </w:t>
      </w:r>
      <w:r w:rsidDel="00000000" w:rsidR="00000000" w:rsidRPr="00000000">
        <w:rPr>
          <w:rFonts w:ascii="Google Sans" w:cs="Google Sans" w:eastAsia="Google Sans" w:hAnsi="Google Sans"/>
          <w:b w:val="1"/>
          <w:bCs w:val="1"/>
          <w:color w:val="1f1f1f"/>
          <w:rtl w:val="0"/>
        </w:rPr>
        <w:t xml:space="preserve">Subred Filtrada (DMZ)</w:t>
      </w:r>
      <w:r w:rsidDel="00000000" w:rsidR="00000000" w:rsidRPr="00000000">
        <w:rPr>
          <w:rFonts w:ascii="Google Sans" w:cs="Google Sans" w:eastAsia="Google Sans" w:hAnsi="Google Sans"/>
          <w:color w:val="1f1f1f"/>
          <w:rtl w:val="0"/>
        </w:rPr>
        <w:t xml:space="preserve"> sigue siendo la mejor práctica para aislar servicios públicos de la red interna mediante una doble barrera de protección.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IAM (Identity Access Management): Gestión de identidades y accesos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estándar </w:t>
      </w:r>
      <w:r w:rsidDel="00000000" w:rsidR="00000000" w:rsidRPr="00000000">
        <w:rPr>
          <w:rFonts w:ascii="Google Sans" w:cs="Google Sans" w:eastAsia="Google Sans" w:hAnsi="Google Sans"/>
          <w:b w:val="1"/>
          <w:bCs w:val="1"/>
          <w:color w:val="1f1f1f"/>
          <w:rtl w:val="0"/>
        </w:rPr>
        <w:t xml:space="preserve">NIST SP 800-63-3</w:t>
      </w:r>
      <w:r w:rsidDel="00000000" w:rsidR="00000000" w:rsidRPr="00000000">
        <w:rPr>
          <w:rFonts w:ascii="Google Sans" w:cs="Google Sans" w:eastAsia="Google Sans" w:hAnsi="Google Sans"/>
          <w:color w:val="1f1f1f"/>
          <w:rtl w:val="0"/>
        </w:rPr>
        <w:t xml:space="preserve"> define el marco para la gestión de identidades digitales en tres niveles de seguridad:</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IAL (Identity Assurance Level):</w:t>
      </w:r>
      <w:r w:rsidDel="00000000" w:rsidR="00000000" w:rsidRPr="00000000">
        <w:rPr>
          <w:rFonts w:ascii="Google Sans" w:cs="Google Sans" w:eastAsia="Google Sans" w:hAnsi="Google Sans"/>
          <w:color w:val="1f1f1f"/>
          <w:rtl w:val="0"/>
        </w:rPr>
        <w:t xml:space="preserve"> Rigor en la verificación de la identidad real del usuario.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AAL (Authenticator Assurance Level):</w:t>
      </w:r>
      <w:r w:rsidDel="00000000" w:rsidR="00000000" w:rsidRPr="00000000">
        <w:rPr>
          <w:rFonts w:ascii="Google Sans" w:cs="Google Sans" w:eastAsia="Google Sans" w:hAnsi="Google Sans"/>
          <w:color w:val="1f1f1f"/>
          <w:rtl w:val="0"/>
        </w:rPr>
        <w:t xml:space="preserve"> Fortaleza de los factores de autenticación (ej. MFA resistente a phishing).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FAL (Federation Assurance Level):</w:t>
      </w:r>
      <w:r w:rsidDel="00000000" w:rsidR="00000000" w:rsidRPr="00000000">
        <w:rPr>
          <w:rFonts w:ascii="Google Sans" w:cs="Google Sans" w:eastAsia="Google Sans" w:hAnsi="Google Sans"/>
          <w:color w:val="1f1f1f"/>
          <w:rtl w:val="0"/>
        </w:rPr>
        <w:t xml:space="preserve"> Seguridad en la transmisión de atributos de identidad entre sistemas.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Pentesting: Pruebas de penetración y vulnerabilidades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validación de controles se realiza mediante metodologías como </w:t>
      </w:r>
      <w:r w:rsidDel="00000000" w:rsidR="00000000" w:rsidRPr="00000000">
        <w:rPr>
          <w:rFonts w:ascii="Google Sans" w:cs="Google Sans" w:eastAsia="Google Sans" w:hAnsi="Google Sans"/>
          <w:b w:val="1"/>
          <w:bCs w:val="1"/>
          <w:color w:val="1f1f1f"/>
          <w:rtl w:val="0"/>
        </w:rPr>
        <w:t xml:space="preserve">OWASP</w:t>
      </w:r>
      <w:r w:rsidDel="00000000" w:rsidR="00000000" w:rsidRPr="00000000">
        <w:rPr>
          <w:rFonts w:ascii="Google Sans" w:cs="Google Sans" w:eastAsia="Google Sans" w:hAnsi="Google Sans"/>
          <w:color w:val="1f1f1f"/>
          <w:rtl w:val="0"/>
        </w:rPr>
        <w:t xml:space="preserve"> (para web y firmware), </w:t>
      </w:r>
      <w:r w:rsidDel="00000000" w:rsidR="00000000" w:rsidRPr="00000000">
        <w:rPr>
          <w:rFonts w:ascii="Google Sans" w:cs="Google Sans" w:eastAsia="Google Sans" w:hAnsi="Google Sans"/>
          <w:b w:val="1"/>
          <w:bCs w:val="1"/>
          <w:color w:val="1f1f1f"/>
          <w:rtl w:val="0"/>
        </w:rPr>
        <w:t xml:space="preserve">NIST SP 800-115</w:t>
      </w:r>
      <w:r w:rsidDel="00000000" w:rsidR="00000000" w:rsidRPr="00000000">
        <w:rPr>
          <w:rFonts w:ascii="Google Sans" w:cs="Google Sans" w:eastAsia="Google Sans" w:hAnsi="Google Sans"/>
          <w:color w:val="1f1f1f"/>
          <w:rtl w:val="0"/>
        </w:rPr>
        <w:t xml:space="preserve"> y el estándar </w:t>
      </w:r>
      <w:r w:rsidDel="00000000" w:rsidR="00000000" w:rsidRPr="00000000">
        <w:rPr>
          <w:rFonts w:ascii="Google Sans" w:cs="Google Sans" w:eastAsia="Google Sans" w:hAnsi="Google Sans"/>
          <w:b w:val="1"/>
          <w:bCs w:val="1"/>
          <w:color w:val="1f1f1f"/>
          <w:rtl w:val="0"/>
        </w:rPr>
        <w:t xml:space="preserve">PTES</w:t>
      </w:r>
      <w:r w:rsidDel="00000000" w:rsidR="00000000" w:rsidRPr="00000000">
        <w:rPr>
          <w:rFonts w:ascii="Google Sans" w:cs="Google Sans" w:eastAsia="Google Sans" w:hAnsi="Google Sans"/>
          <w:color w:val="1f1f1f"/>
          <w:rtl w:val="0"/>
        </w:rPr>
        <w:t xml:space="preserve"> (Penetration Testing Execution Standard).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Estas pruebas simulan ataques reales a través de fases de inteligencia, modelado de amenazas, explotación y post-explotación para identificar y remediar brechas de seguridad antes de que sean aprovechadas.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Seguridad de la Información (Eje Normativo)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eje establece los marcos legales y estándares internacionales que garantizan el cumplimiento y la integridad de la información.</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① Sistema de Gestión de Seguridad de la Información (SGSI): ISO 27001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norma </w:t>
      </w:r>
      <w:r w:rsidDel="00000000" w:rsidR="00000000" w:rsidRPr="00000000">
        <w:rPr>
          <w:rFonts w:ascii="Google Sans" w:cs="Google Sans" w:eastAsia="Google Sans" w:hAnsi="Google Sans"/>
          <w:b w:val="1"/>
          <w:bCs w:val="1"/>
          <w:color w:val="1f1f1f"/>
          <w:rtl w:val="0"/>
        </w:rPr>
        <w:t xml:space="preserve">ISO/IEC 27001:2022</w:t>
      </w:r>
      <w:r w:rsidDel="00000000" w:rsidR="00000000" w:rsidRPr="00000000">
        <w:rPr>
          <w:rFonts w:ascii="Google Sans" w:cs="Google Sans" w:eastAsia="Google Sans" w:hAnsi="Google Sans"/>
          <w:color w:val="1f1f1f"/>
          <w:rtl w:val="0"/>
        </w:rPr>
        <w:t xml:space="preserve"> es el estándar global para implementar un SGSI. Su actualización más reciente simplificó los controles del Anexo A a 93 ítems organizados en cuatro dominios: Organizacionales, Personas, Físicos y Tecnológicos, incorporando nuevos controles específicos para la inteligencia de amenazas y la seguridad en la nube.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② Gestión de Riesgos: ISO 31000 e ISO 27005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w:t>
      </w:r>
      <w:r w:rsidDel="00000000" w:rsidR="00000000" w:rsidRPr="00000000">
        <w:rPr>
          <w:rFonts w:ascii="Google Sans" w:cs="Google Sans" w:eastAsia="Google Sans" w:hAnsi="Google Sans"/>
          <w:b w:val="1"/>
          <w:bCs w:val="1"/>
          <w:color w:val="1f1f1f"/>
          <w:rtl w:val="0"/>
        </w:rPr>
        <w:t xml:space="preserve">ISO 31000:2018</w:t>
      </w:r>
      <w:r w:rsidDel="00000000" w:rsidR="00000000" w:rsidRPr="00000000">
        <w:rPr>
          <w:rFonts w:ascii="Google Sans" w:cs="Google Sans" w:eastAsia="Google Sans" w:hAnsi="Google Sans"/>
          <w:color w:val="1f1f1f"/>
          <w:rtl w:val="0"/>
        </w:rPr>
        <w:t xml:space="preserve"> proporciona los principios generales para la gestión de riesgos a nivel corporativo (identificación, análisis y tratamiento).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Para el ámbito técnico de TI, la </w:t>
      </w:r>
      <w:r w:rsidDel="00000000" w:rsidR="00000000" w:rsidRPr="00000000">
        <w:rPr>
          <w:rFonts w:ascii="Google Sans" w:cs="Google Sans" w:eastAsia="Google Sans" w:hAnsi="Google Sans"/>
          <w:b w:val="1"/>
          <w:bCs w:val="1"/>
          <w:color w:val="1f1f1f"/>
          <w:rtl w:val="0"/>
        </w:rPr>
        <w:t xml:space="preserve">ISO/IEC 27005:2022</w:t>
      </w:r>
      <w:r w:rsidDel="00000000" w:rsidR="00000000" w:rsidRPr="00000000">
        <w:rPr>
          <w:rFonts w:ascii="Google Sans" w:cs="Google Sans" w:eastAsia="Google Sans" w:hAnsi="Google Sans"/>
          <w:color w:val="1f1f1f"/>
          <w:rtl w:val="0"/>
        </w:rPr>
        <w:t xml:space="preserve"> complementa este enfoque ofreciendo guías detalladas para valorar riesgos específicos de seguridad de la información, permitiendo a las organizaciones priorizar inversiones basadas en el impacto al negocio.</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③ Sistema de Gestión de Inteligencia Artificial: ISO 42001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norma </w:t>
      </w:r>
      <w:r w:rsidDel="00000000" w:rsidR="00000000" w:rsidRPr="00000000">
        <w:rPr>
          <w:rFonts w:ascii="Google Sans" w:cs="Google Sans" w:eastAsia="Google Sans" w:hAnsi="Google Sans"/>
          <w:b w:val="1"/>
          <w:bCs w:val="1"/>
          <w:color w:val="1f1f1f"/>
          <w:rtl w:val="0"/>
        </w:rPr>
        <w:t xml:space="preserve">ISO/IEC 42001:2023</w:t>
      </w:r>
      <w:r w:rsidDel="00000000" w:rsidR="00000000" w:rsidRPr="00000000">
        <w:rPr>
          <w:rFonts w:ascii="Google Sans" w:cs="Google Sans" w:eastAsia="Google Sans" w:hAnsi="Google Sans"/>
          <w:color w:val="1f1f1f"/>
          <w:rtl w:val="0"/>
        </w:rPr>
        <w:t xml:space="preserve"> establece el primer estándar internacional para la gestión responsable de la IA. Se enfoca en mitigar riesgos éticos como el sesgo, la falta de transparencia y la explicabilidad, asegurando que el desarrollo y uso de la IA se alinee con los derechos humanos y la gobernanza organizacional.</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④ LOPDP: Ley Orgánica de Protección de Datos Personales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Ecuador, la </w:t>
      </w:r>
      <w:r w:rsidDel="00000000" w:rsidR="00000000" w:rsidRPr="00000000">
        <w:rPr>
          <w:rFonts w:ascii="Google Sans" w:cs="Google Sans" w:eastAsia="Google Sans" w:hAnsi="Google Sans"/>
          <w:b w:val="1"/>
          <w:bCs w:val="1"/>
          <w:color w:val="1f1f1f"/>
          <w:rtl w:val="0"/>
        </w:rPr>
        <w:t xml:space="preserve">LOPDP</w:t>
      </w:r>
      <w:r w:rsidDel="00000000" w:rsidR="00000000" w:rsidRPr="00000000">
        <w:rPr>
          <w:rFonts w:ascii="Google Sans" w:cs="Google Sans" w:eastAsia="Google Sans" w:hAnsi="Google Sans"/>
          <w:color w:val="1f1f1f"/>
          <w:rtl w:val="0"/>
        </w:rPr>
        <w:t xml:space="preserve"> (Registro Oficial 459, mayo 2021) y su Reglamento General (noviembre 2023) regulan el tratamiento de datos personales.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La ley otorga derechos de acceso, rectificación, eliminación y portabilidad a los titulares, y establece la </w:t>
      </w:r>
      <w:r w:rsidDel="00000000" w:rsidR="00000000" w:rsidRPr="00000000">
        <w:rPr>
          <w:rFonts w:ascii="Google Sans" w:cs="Google Sans" w:eastAsia="Google Sans" w:hAnsi="Google Sans"/>
          <w:b w:val="1"/>
          <w:bCs w:val="1"/>
          <w:color w:val="1f1f1f"/>
          <w:rtl w:val="0"/>
        </w:rPr>
        <w:t xml:space="preserve">Superintendencia de Protección de Datos Personales (SPDP)</w:t>
      </w:r>
      <w:r w:rsidDel="00000000" w:rsidR="00000000" w:rsidRPr="00000000">
        <w:rPr>
          <w:rFonts w:ascii="Google Sans" w:cs="Google Sans" w:eastAsia="Google Sans" w:hAnsi="Google Sans"/>
          <w:color w:val="1f1f1f"/>
          <w:rtl w:val="0"/>
        </w:rPr>
        <w:t xml:space="preserve"> como la autoridad de control con potestad para imponer multas de hasta el 1% de la facturación anual por incumplimientos graves.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TICs (Eje de Gobernanza)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gobernanza asegura que el uso de las tecnologías de la información genere valor y cumpla con la dirección estratégica de la entidad.</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Gobierno TI: ISO 38500 y COBIT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w:t>
      </w:r>
      <w:r w:rsidDel="00000000" w:rsidR="00000000" w:rsidRPr="00000000">
        <w:rPr>
          <w:rFonts w:ascii="Google Sans" w:cs="Google Sans" w:eastAsia="Google Sans" w:hAnsi="Google Sans"/>
          <w:b w:val="1"/>
          <w:bCs w:val="1"/>
          <w:color w:val="1f1f1f"/>
          <w:rtl w:val="0"/>
        </w:rPr>
        <w:t xml:space="preserve">ISO/IEC 38500</w:t>
      </w:r>
      <w:r w:rsidDel="00000000" w:rsidR="00000000" w:rsidRPr="00000000">
        <w:rPr>
          <w:rFonts w:ascii="Google Sans" w:cs="Google Sans" w:eastAsia="Google Sans" w:hAnsi="Google Sans"/>
          <w:color w:val="1f1f1f"/>
          <w:rtl w:val="0"/>
        </w:rPr>
        <w:t xml:space="preserve"> proporciona un marco de seis principios (Responsabilidad, Estrategia, Adquisición, Desempeño, Conformidad y Comportamiento) para que la alta dirección supervise la TI como un activo estratégico.</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Por su parte, </w:t>
      </w:r>
      <w:r w:rsidDel="00000000" w:rsidR="00000000" w:rsidRPr="00000000">
        <w:rPr>
          <w:rFonts w:ascii="Google Sans" w:cs="Google Sans" w:eastAsia="Google Sans" w:hAnsi="Google Sans"/>
          <w:b w:val="1"/>
          <w:bCs w:val="1"/>
          <w:color w:val="1f1f1f"/>
          <w:rtl w:val="0"/>
        </w:rPr>
        <w:t xml:space="preserve">COBIT 2019</w:t>
      </w:r>
      <w:r w:rsidDel="00000000" w:rsidR="00000000" w:rsidRPr="00000000">
        <w:rPr>
          <w:rFonts w:ascii="Google Sans" w:cs="Google Sans" w:eastAsia="Google Sans" w:hAnsi="Google Sans"/>
          <w:color w:val="1f1f1f"/>
          <w:rtl w:val="0"/>
        </w:rPr>
        <w:t xml:space="preserve"> actúa como un marco de trabajo integral que diferencia claramente el Gobierno (evaluar, dirigir, monitorear) de la Gestión (planificar, construir, ejecutar, monitorear), permitiendo una alineación total entre las metas de negocio y las de TI.</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Mejores Prácticas: ITIL y PMBOK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ITIL 4</w:t>
      </w:r>
      <w:r w:rsidDel="00000000" w:rsidR="00000000" w:rsidRPr="00000000">
        <w:rPr>
          <w:rFonts w:ascii="Google Sans" w:cs="Google Sans" w:eastAsia="Google Sans" w:hAnsi="Google Sans"/>
          <w:color w:val="1f1f1f"/>
          <w:rtl w:val="0"/>
        </w:rPr>
        <w:t xml:space="preserve"> se centra en la gestión de servicios mediante el Sistema de Valor del Servicio (SVS), fomentando prácticas ágiles y DevOps para la entrega de valor constante.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En la gestión de proyectos, el </w:t>
      </w:r>
      <w:r w:rsidDel="00000000" w:rsidR="00000000" w:rsidRPr="00000000">
        <w:rPr>
          <w:rFonts w:ascii="Google Sans" w:cs="Google Sans" w:eastAsia="Google Sans" w:hAnsi="Google Sans"/>
          <w:b w:val="1"/>
          <w:bCs w:val="1"/>
          <w:color w:val="1f1f1f"/>
          <w:rtl w:val="0"/>
        </w:rPr>
        <w:t xml:space="preserve">PMBOK</w:t>
      </w:r>
      <w:r w:rsidDel="00000000" w:rsidR="00000000" w:rsidRPr="00000000">
        <w:rPr>
          <w:rFonts w:ascii="Google Sans" w:cs="Google Sans" w:eastAsia="Google Sans" w:hAnsi="Google Sans"/>
          <w:color w:val="1f1f1f"/>
          <w:rtl w:val="0"/>
        </w:rPr>
        <w:t xml:space="preserve"> ha evolucionado de un enfoque basado en procesos (6ta ed.) a uno basado en 12 principios y 8 dominios de desempeño en su </w:t>
      </w:r>
      <w:r w:rsidDel="00000000" w:rsidR="00000000" w:rsidRPr="00000000">
        <w:rPr>
          <w:rFonts w:ascii="Google Sans" w:cs="Google Sans" w:eastAsia="Google Sans" w:hAnsi="Google Sans"/>
          <w:b w:val="1"/>
          <w:bCs w:val="1"/>
          <w:color w:val="1f1f1f"/>
          <w:rtl w:val="0"/>
        </w:rPr>
        <w:t xml:space="preserve">7ma edición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La </w:t>
      </w:r>
      <w:r w:rsidDel="00000000" w:rsidR="00000000" w:rsidRPr="00000000">
        <w:rPr>
          <w:rFonts w:ascii="Google Sans" w:cs="Google Sans" w:eastAsia="Google Sans" w:hAnsi="Google Sans"/>
          <w:b w:val="1"/>
          <w:bCs w:val="1"/>
          <w:color w:val="1f1f1f"/>
          <w:rtl w:val="0"/>
        </w:rPr>
        <w:t xml:space="preserve">8va edición</w:t>
      </w:r>
      <w:r w:rsidDel="00000000" w:rsidR="00000000" w:rsidRPr="00000000">
        <w:rPr>
          <w:rFonts w:ascii="Google Sans" w:cs="Google Sans" w:eastAsia="Google Sans" w:hAnsi="Google Sans"/>
          <w:color w:val="1f1f1f"/>
          <w:rtl w:val="0"/>
        </w:rPr>
        <w:t xml:space="preserve"> (proyectada para 2025/2026) busca reintroducir una estructura de procesos simplificada, integrando la sostenibilidad como un principio fundamental.</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Capacitación (Eje de Formación)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capital humano capacitado es el garante de la sostenibilidad de la estrategia tecnológica.</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Gerencia de Proyectos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certificación </w:t>
      </w:r>
      <w:r w:rsidDel="00000000" w:rsidR="00000000" w:rsidRPr="00000000">
        <w:rPr>
          <w:rFonts w:ascii="Google Sans" w:cs="Google Sans" w:eastAsia="Google Sans" w:hAnsi="Google Sans"/>
          <w:b w:val="1"/>
          <w:bCs w:val="1"/>
          <w:color w:val="1f1f1f"/>
          <w:rtl w:val="0"/>
        </w:rPr>
        <w:t xml:space="preserve">PMP (Project Management Professional)</w:t>
      </w:r>
      <w:r w:rsidDel="00000000" w:rsidR="00000000" w:rsidRPr="00000000">
        <w:rPr>
          <w:rFonts w:ascii="Google Sans" w:cs="Google Sans" w:eastAsia="Google Sans" w:hAnsi="Google Sans"/>
          <w:color w:val="1f1f1f"/>
          <w:rtl w:val="0"/>
        </w:rPr>
        <w:t xml:space="preserve"> del PMI es el estándar mundial que valida las capacidades de liderazgo y gestión en entornos predictivos, ágiles e híbridos.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Complementariamente, el </w:t>
      </w:r>
      <w:r w:rsidDel="00000000" w:rsidR="00000000" w:rsidRPr="00000000">
        <w:rPr>
          <w:rFonts w:ascii="Google Sans" w:cs="Google Sans" w:eastAsia="Google Sans" w:hAnsi="Google Sans"/>
          <w:b w:val="1"/>
          <w:bCs w:val="1"/>
          <w:color w:val="1f1f1f"/>
          <w:rtl w:val="0"/>
        </w:rPr>
        <w:t xml:space="preserve">CAPM</w:t>
      </w:r>
      <w:r w:rsidDel="00000000" w:rsidR="00000000" w:rsidRPr="00000000">
        <w:rPr>
          <w:rFonts w:ascii="Google Sans" w:cs="Google Sans" w:eastAsia="Google Sans" w:hAnsi="Google Sans"/>
          <w:color w:val="1f1f1f"/>
          <w:rtl w:val="0"/>
        </w:rPr>
        <w:t xml:space="preserve"> ofrece una base sólida para profesionales técnicos que inician en la dirección de proyectos.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Gestión de Riesgos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especialización en riesgos es crítica para la resiliencia. La certificación </w:t>
      </w:r>
      <w:r w:rsidDel="00000000" w:rsidR="00000000" w:rsidRPr="00000000">
        <w:rPr>
          <w:rFonts w:ascii="Google Sans" w:cs="Google Sans" w:eastAsia="Google Sans" w:hAnsi="Google Sans"/>
          <w:b w:val="1"/>
          <w:bCs w:val="1"/>
          <w:color w:val="1f1f1f"/>
          <w:rtl w:val="0"/>
        </w:rPr>
        <w:t xml:space="preserve">PMI-RMP (Risk Management Professional)</w:t>
      </w:r>
      <w:r w:rsidDel="00000000" w:rsidR="00000000" w:rsidRPr="00000000">
        <w:rPr>
          <w:rFonts w:ascii="Google Sans" w:cs="Google Sans" w:eastAsia="Google Sans" w:hAnsi="Google Sans"/>
          <w:color w:val="1f1f1f"/>
          <w:rtl w:val="0"/>
        </w:rPr>
        <w:t xml:space="preserve"> enfoca al profesional en la identificación y mitigación de amenazas en proyectos.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 nivel de normas internacionales, las certificaciones de </w:t>
      </w:r>
      <w:r w:rsidDel="00000000" w:rsidR="00000000" w:rsidRPr="00000000">
        <w:rPr>
          <w:rFonts w:ascii="Google Sans" w:cs="Google Sans" w:eastAsia="Google Sans" w:hAnsi="Google Sans"/>
          <w:b w:val="1"/>
          <w:bCs w:val="1"/>
          <w:color w:val="1f1f1f"/>
          <w:rtl w:val="0"/>
        </w:rPr>
        <w:t xml:space="preserve">Lead Risk Manager en ISO 31000</w:t>
      </w:r>
      <w:r w:rsidDel="00000000" w:rsidR="00000000" w:rsidRPr="00000000">
        <w:rPr>
          <w:rFonts w:ascii="Google Sans" w:cs="Google Sans" w:eastAsia="Google Sans" w:hAnsi="Google Sans"/>
          <w:color w:val="1f1f1f"/>
          <w:rtl w:val="0"/>
        </w:rPr>
        <w:t xml:space="preserve"> acreditan la competencia para diseñar marcos de gestión de riesgos que protejan la reputación y competitividad de la organización.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i w:val="1"/>
          <w:iCs w:val="1"/>
          <w:color w:val="1f1f1f"/>
          <w:rtl w:val="0"/>
        </w:rPr>
        <w:t xml:space="preserve">Fórmula de evaluación de riesgos para priorización de activos: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Pr>
        <w:drawing>
          <wp:inline distB="19050" distT="19050" distL="19050" distR="19050">
            <wp:extent cx="5905500" cy="45279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5279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Agile vs Waterfall vs Hybrid project management: which approach should your PMO use?, acceso: mayo 7, 2026, </w:t>
      </w:r>
      <w:hyperlink r:id="rId7">
        <w:r w:rsidDel="00000000" w:rsidR="00000000" w:rsidRPr="00000000">
          <w:rPr>
            <w:rFonts w:ascii="Google Sans" w:cs="Google Sans" w:eastAsia="Google Sans" w:hAnsi="Google Sans"/>
            <w:color w:val="0000ee"/>
            <w:sz w:val="24"/>
            <w:szCs w:val="24"/>
            <w:u w:val="single"/>
            <w:rtl w:val="0"/>
          </w:rPr>
          <w:t xml:space="preserve">https://triskellsoftware.com/blog/agile-vs-waterfall-vs-hybrid/</w:t>
        </w:r>
      </w:hyperlink>
      <w:r w:rsidDel="00000000" w:rsidR="00000000" w:rsidRPr="00000000">
        <w:rPr>
          <w:rtl w:val="0"/>
        </w:rPr>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PMOs Deliver Agile and Waterfall Projects - Prism PPM, acceso: mayo 7, 2026, </w:t>
      </w:r>
      <w:hyperlink r:id="rId8">
        <w:r w:rsidDel="00000000" w:rsidR="00000000" w:rsidRPr="00000000">
          <w:rPr>
            <w:rFonts w:ascii="Google Sans" w:cs="Google Sans" w:eastAsia="Google Sans" w:hAnsi="Google Sans"/>
            <w:color w:val="0000ee"/>
            <w:sz w:val="24"/>
            <w:szCs w:val="24"/>
            <w:u w:val="single"/>
            <w:rtl w:val="0"/>
          </w:rPr>
          <w:t xml:space="preserve">https://prismppm.com/blog/pm-best-practices/agile-vs-waterfall-vs-hybrid-how-pmos-can-manage-multiple-methodologies-at-scale/</w:t>
        </w:r>
      </w:hyperlink>
      <w:r w:rsidDel="00000000" w:rsidR="00000000" w:rsidRPr="00000000">
        <w:rPr>
          <w:rtl w:val="0"/>
        </w:rPr>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Management Methodologies: Top Frameworks 2026, acceso: mayo 7, 2026, </w:t>
      </w:r>
      <w:hyperlink r:id="rId9">
        <w:r w:rsidDel="00000000" w:rsidR="00000000" w:rsidRPr="00000000">
          <w:rPr>
            <w:rFonts w:ascii="Google Sans" w:cs="Google Sans" w:eastAsia="Google Sans" w:hAnsi="Google Sans"/>
            <w:color w:val="0000ee"/>
            <w:sz w:val="24"/>
            <w:szCs w:val="24"/>
            <w:u w:val="single"/>
            <w:rtl w:val="0"/>
          </w:rPr>
          <w:t xml:space="preserve">https://www.4pmti.com/learn/project-management-methodologies/</w:t>
        </w:r>
      </w:hyperlink>
      <w:r w:rsidDel="00000000" w:rsidR="00000000" w:rsidRPr="00000000">
        <w:rPr>
          <w:rtl w:val="0"/>
        </w:rPr>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DAMA-DMBOK Explained: Data Management Framework | Snowflake, acceso: mayo 7, 2026, </w:t>
      </w:r>
      <w:hyperlink r:id="rId10">
        <w:r w:rsidDel="00000000" w:rsidR="00000000" w:rsidRPr="00000000">
          <w:rPr>
            <w:rFonts w:ascii="Google Sans" w:cs="Google Sans" w:eastAsia="Google Sans" w:hAnsi="Google Sans"/>
            <w:color w:val="0000ee"/>
            <w:sz w:val="24"/>
            <w:szCs w:val="24"/>
            <w:u w:val="single"/>
            <w:rtl w:val="0"/>
          </w:rPr>
          <w:t xml:space="preserve">https://www.snowflake.com/en/fundamentals/data-governance/framework/dama-dmbok/</w:t>
        </w:r>
      </w:hyperlink>
      <w:r w:rsidDel="00000000" w:rsidR="00000000" w:rsidRPr="00000000">
        <w:rPr>
          <w:rtl w:val="0"/>
        </w:rPr>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Infraestructura hiperconvergente (HCI) - 24/7 support | Worldstream, acceso: mayo 7, 2026, </w:t>
      </w:r>
      <w:hyperlink r:id="rId11">
        <w:r w:rsidDel="00000000" w:rsidR="00000000" w:rsidRPr="00000000">
          <w:rPr>
            <w:rFonts w:ascii="Google Sans" w:cs="Google Sans" w:eastAsia="Google Sans" w:hAnsi="Google Sans"/>
            <w:color w:val="0000ee"/>
            <w:sz w:val="24"/>
            <w:szCs w:val="24"/>
            <w:u w:val="single"/>
            <w:rtl w:val="0"/>
          </w:rPr>
          <w:t xml:space="preserve">https://www.worldstream.com/es/casos-de-uso/hyperconverged-infrastructure-hci/</w:t>
        </w:r>
      </w:hyperlink>
      <w:r w:rsidDel="00000000" w:rsidR="00000000" w:rsidRPr="00000000">
        <w:rPr>
          <w:rtl w:val="0"/>
        </w:rPr>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es la infraestructura hiperconvergente? - IBM, acceso: mayo 7, 2026, </w:t>
      </w:r>
      <w:hyperlink r:id="rId12">
        <w:r w:rsidDel="00000000" w:rsidR="00000000" w:rsidRPr="00000000">
          <w:rPr>
            <w:rFonts w:ascii="Google Sans" w:cs="Google Sans" w:eastAsia="Google Sans" w:hAnsi="Google Sans"/>
            <w:color w:val="0000ee"/>
            <w:sz w:val="24"/>
            <w:szCs w:val="24"/>
            <w:u w:val="single"/>
            <w:rtl w:val="0"/>
          </w:rPr>
          <w:t xml:space="preserve">https://www.ibm.com/es-es/think/topics/hyperconverged-infrastructure</w:t>
        </w:r>
      </w:hyperlink>
      <w:r w:rsidDel="00000000" w:rsidR="00000000" w:rsidRPr="00000000">
        <w:rPr>
          <w:rtl w:val="0"/>
        </w:rPr>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EDR vs. MDR vs. XDR: Which is right for you? | Red Canary, acceso: mayo 7, 2026, </w:t>
      </w:r>
      <w:hyperlink r:id="rId13">
        <w:r w:rsidDel="00000000" w:rsidR="00000000" w:rsidRPr="00000000">
          <w:rPr>
            <w:rFonts w:ascii="Google Sans" w:cs="Google Sans" w:eastAsia="Google Sans" w:hAnsi="Google Sans"/>
            <w:color w:val="0000ee"/>
            <w:sz w:val="24"/>
            <w:szCs w:val="24"/>
            <w:u w:val="single"/>
            <w:rtl w:val="0"/>
          </w:rPr>
          <w:t xml:space="preserve">https://redcanary.com/cybersecurity-101/endpoint-security/edr-vs-mdr-vs-xdr/</w:t>
        </w:r>
      </w:hyperlink>
      <w:r w:rsidDel="00000000" w:rsidR="00000000" w:rsidRPr="00000000">
        <w:rPr>
          <w:rtl w:val="0"/>
        </w:rPr>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EDR,MDR,XDR? - Acronis, acceso: mayo 7, 2026, </w:t>
      </w:r>
      <w:hyperlink r:id="rId14">
        <w:r w:rsidDel="00000000" w:rsidR="00000000" w:rsidRPr="00000000">
          <w:rPr>
            <w:rFonts w:ascii="Google Sans" w:cs="Google Sans" w:eastAsia="Google Sans" w:hAnsi="Google Sans"/>
            <w:color w:val="0000ee"/>
            <w:sz w:val="24"/>
            <w:szCs w:val="24"/>
            <w:u w:val="single"/>
            <w:rtl w:val="0"/>
          </w:rPr>
          <w:t xml:space="preserve">https://www.acronis.com/en/blog/posts/edr-mdr-xdr-everything-you-need-to-know/</w:t>
        </w:r>
      </w:hyperlink>
      <w:r w:rsidDel="00000000" w:rsidR="00000000" w:rsidRPr="00000000">
        <w:rPr>
          <w:rtl w:val="0"/>
        </w:rPr>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XDR - Extended Detection and Response? - Sophos, acceso: mayo 7, 2026, </w:t>
      </w:r>
      <w:hyperlink r:id="rId15">
        <w:r w:rsidDel="00000000" w:rsidR="00000000" w:rsidRPr="00000000">
          <w:rPr>
            <w:rFonts w:ascii="Google Sans" w:cs="Google Sans" w:eastAsia="Google Sans" w:hAnsi="Google Sans"/>
            <w:color w:val="0000ee"/>
            <w:sz w:val="24"/>
            <w:szCs w:val="24"/>
            <w:u w:val="single"/>
            <w:rtl w:val="0"/>
          </w:rPr>
          <w:t xml:space="preserve">https://www.sophos.com/en-us/cybersecurity-explained/what-is-xdr-security</w:t>
        </w:r>
      </w:hyperlink>
      <w:r w:rsidDel="00000000" w:rsidR="00000000" w:rsidRPr="00000000">
        <w:rPr>
          <w:rtl w:val="0"/>
        </w:rPr>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Guidelines on Firewalls and Firewall Policy | NIST, acceso: mayo 7, 2026, </w:t>
      </w:r>
      <w:hyperlink r:id="rId16">
        <w:r w:rsidDel="00000000" w:rsidR="00000000" w:rsidRPr="00000000">
          <w:rPr>
            <w:rFonts w:ascii="Google Sans" w:cs="Google Sans" w:eastAsia="Google Sans" w:hAnsi="Google Sans"/>
            <w:color w:val="0000ee"/>
            <w:sz w:val="24"/>
            <w:szCs w:val="24"/>
            <w:u w:val="single"/>
            <w:rtl w:val="0"/>
          </w:rPr>
          <w:t xml:space="preserve">https://www.nist.gov/publications/guidelines-firewalls-and-firewall-policy</w:t>
        </w:r>
      </w:hyperlink>
      <w:r w:rsidDel="00000000" w:rsidR="00000000" w:rsidRPr="00000000">
        <w:rPr>
          <w:rtl w:val="0"/>
        </w:rPr>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Firewall Configurations Demystified: Navigating the Types and Best Practices | Tufin, acceso: mayo 7, 2026, </w:t>
      </w:r>
      <w:hyperlink r:id="rId17">
        <w:r w:rsidDel="00000000" w:rsidR="00000000" w:rsidRPr="00000000">
          <w:rPr>
            <w:rFonts w:ascii="Google Sans" w:cs="Google Sans" w:eastAsia="Google Sans" w:hAnsi="Google Sans"/>
            <w:color w:val="0000ee"/>
            <w:sz w:val="24"/>
            <w:szCs w:val="24"/>
            <w:u w:val="single"/>
            <w:rtl w:val="0"/>
          </w:rPr>
          <w:t xml:space="preserve">https://www.tufin.com/blog/navigating-types-firewall-configuration-best-practices</w:t>
        </w:r>
      </w:hyperlink>
      <w:r w:rsidDel="00000000" w:rsidR="00000000" w:rsidRPr="00000000">
        <w:rPr>
          <w:rtl w:val="0"/>
        </w:rPr>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Firewall types and architecture - Infosec, acceso: mayo 7, 2026, </w:t>
      </w:r>
      <w:hyperlink r:id="rId18">
        <w:r w:rsidDel="00000000" w:rsidR="00000000" w:rsidRPr="00000000">
          <w:rPr>
            <w:rFonts w:ascii="Google Sans" w:cs="Google Sans" w:eastAsia="Google Sans" w:hAnsi="Google Sans"/>
            <w:color w:val="0000ee"/>
            <w:sz w:val="24"/>
            <w:szCs w:val="24"/>
            <w:u w:val="single"/>
            <w:rtl w:val="0"/>
          </w:rPr>
          <w:t xml:space="preserve">https://www.infosecinstitute.com/resources/network-security-101/firewall-types-and-architecture/</w:t>
        </w:r>
      </w:hyperlink>
      <w:r w:rsidDel="00000000" w:rsidR="00000000" w:rsidRPr="00000000">
        <w:rPr>
          <w:rtl w:val="0"/>
        </w:rPr>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Special Publication 800-63-3, acceso: mayo 7, 2026, </w:t>
      </w:r>
      <w:hyperlink r:id="rId19">
        <w:r w:rsidDel="00000000" w:rsidR="00000000" w:rsidRPr="00000000">
          <w:rPr>
            <w:rFonts w:ascii="Google Sans" w:cs="Google Sans" w:eastAsia="Google Sans" w:hAnsi="Google Sans"/>
            <w:color w:val="0000ee"/>
            <w:sz w:val="24"/>
            <w:szCs w:val="24"/>
            <w:u w:val="single"/>
            <w:rtl w:val="0"/>
          </w:rPr>
          <w:t xml:space="preserve">https://pages.nist.gov/800-63-3/sp800-63-3.html</w:t>
        </w:r>
      </w:hyperlink>
      <w:r w:rsidDel="00000000" w:rsidR="00000000" w:rsidRPr="00000000">
        <w:rPr>
          <w:rtl w:val="0"/>
        </w:rPr>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Special Publication 800-63B, acceso: mayo 7, 2026, </w:t>
      </w:r>
      <w:hyperlink r:id="rId20">
        <w:r w:rsidDel="00000000" w:rsidR="00000000" w:rsidRPr="00000000">
          <w:rPr>
            <w:rFonts w:ascii="Google Sans" w:cs="Google Sans" w:eastAsia="Google Sans" w:hAnsi="Google Sans"/>
            <w:color w:val="0000ee"/>
            <w:sz w:val="24"/>
            <w:szCs w:val="24"/>
            <w:u w:val="single"/>
            <w:rtl w:val="0"/>
          </w:rPr>
          <w:t xml:space="preserve">https://pages.nist.gov/800-63-3/sp800-63b.html</w:t>
        </w:r>
      </w:hyperlink>
      <w:r w:rsidDel="00000000" w:rsidR="00000000" w:rsidRPr="00000000">
        <w:rPr>
          <w:rtl w:val="0"/>
        </w:rPr>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Special Publication 800-63C - NIST Pages, acceso: mayo 7, 2026, </w:t>
      </w:r>
      <w:hyperlink r:id="rId21">
        <w:r w:rsidDel="00000000" w:rsidR="00000000" w:rsidRPr="00000000">
          <w:rPr>
            <w:rFonts w:ascii="Google Sans" w:cs="Google Sans" w:eastAsia="Google Sans" w:hAnsi="Google Sans"/>
            <w:color w:val="0000ee"/>
            <w:sz w:val="24"/>
            <w:szCs w:val="24"/>
            <w:u w:val="single"/>
            <w:rtl w:val="0"/>
          </w:rPr>
          <w:t xml:space="preserve">https://pages.nist.gov/800-63-3/sp800-63c.html</w:t>
        </w:r>
      </w:hyperlink>
      <w:r w:rsidDel="00000000" w:rsidR="00000000" w:rsidRPr="00000000">
        <w:rPr>
          <w:rtl w:val="0"/>
        </w:rPr>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Pentesting – Types of Methodologies and Frameworks – Cybersecurity Deployment Preparedness Support, Capacity &amp; Capabilities - Cyssde, acceso: mayo 7, 2026, </w:t>
      </w:r>
      <w:hyperlink r:id="rId22">
        <w:r w:rsidDel="00000000" w:rsidR="00000000" w:rsidRPr="00000000">
          <w:rPr>
            <w:rFonts w:ascii="Google Sans" w:cs="Google Sans" w:eastAsia="Google Sans" w:hAnsi="Google Sans"/>
            <w:color w:val="0000ee"/>
            <w:sz w:val="24"/>
            <w:szCs w:val="24"/>
            <w:u w:val="single"/>
            <w:rtl w:val="0"/>
          </w:rPr>
          <w:t xml:space="preserve">https://cyssde.eu/capacity-building/penetration-testing/pentesting-types-of-methodologies-and-frameworks/</w:t>
        </w:r>
      </w:hyperlink>
      <w:r w:rsidDel="00000000" w:rsidR="00000000" w:rsidRPr="00000000">
        <w:rPr>
          <w:rtl w:val="0"/>
        </w:rPr>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Penetration Testing Methodologies - WSTG - v4.2 | OWASP Foundation, acceso: mayo 7, 2026, </w:t>
      </w:r>
      <w:hyperlink r:id="rId23">
        <w:r w:rsidDel="00000000" w:rsidR="00000000" w:rsidRPr="00000000">
          <w:rPr>
            <w:rFonts w:ascii="Google Sans" w:cs="Google Sans" w:eastAsia="Google Sans" w:hAnsi="Google Sans"/>
            <w:color w:val="0000ee"/>
            <w:sz w:val="24"/>
            <w:szCs w:val="24"/>
            <w:u w:val="single"/>
            <w:rtl w:val="0"/>
          </w:rPr>
          <w:t xml:space="preserve">https://owasp.org/www-project-web-security-testing-guide/v42/3-The_OWASP_Testing_Framework/1-Penetration_Testing_Methodologies</w:t>
        </w:r>
      </w:hyperlink>
      <w:r w:rsidDel="00000000" w:rsidR="00000000" w:rsidRPr="00000000">
        <w:rPr>
          <w:rtl w:val="0"/>
        </w:rPr>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es la infraestructura hiperconvergente? - Red Hat, acceso: mayo 7, 2026, </w:t>
      </w:r>
      <w:hyperlink r:id="rId24">
        <w:r w:rsidDel="00000000" w:rsidR="00000000" w:rsidRPr="00000000">
          <w:rPr>
            <w:rFonts w:ascii="Google Sans" w:cs="Google Sans" w:eastAsia="Google Sans" w:hAnsi="Google Sans"/>
            <w:color w:val="0000ee"/>
            <w:sz w:val="24"/>
            <w:szCs w:val="24"/>
            <w:u w:val="single"/>
            <w:rtl w:val="0"/>
          </w:rPr>
          <w:t xml:space="preserve">https://www.redhat.com/es/topics/hyperconverged-infrastructure/what-is-hyperconverged-infrastructure</w:t>
        </w:r>
      </w:hyperlink>
      <w:r w:rsidDel="00000000" w:rsidR="00000000" w:rsidRPr="00000000">
        <w:rPr>
          <w:rtl w:val="0"/>
        </w:rPr>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Estándares de calidad del software - Blog de hiberus, acceso: mayo 7, 2026, </w:t>
      </w:r>
      <w:hyperlink r:id="rId25">
        <w:r w:rsidDel="00000000" w:rsidR="00000000" w:rsidRPr="00000000">
          <w:rPr>
            <w:rFonts w:ascii="Google Sans" w:cs="Google Sans" w:eastAsia="Google Sans" w:hAnsi="Google Sans"/>
            <w:color w:val="0000ee"/>
            <w:sz w:val="24"/>
            <w:szCs w:val="24"/>
            <w:u w:val="single"/>
            <w:rtl w:val="0"/>
          </w:rPr>
          <w:t xml:space="preserve">https://www.hiberus.com/crecemos-contigo/los-estandares-de-calidad-del-software-mas-importantes/</w:t>
        </w:r>
      </w:hyperlink>
      <w:r w:rsidDel="00000000" w:rsidR="00000000" w:rsidRPr="00000000">
        <w:rPr>
          <w:rtl w:val="0"/>
        </w:rPr>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ISO 42001 and ISO 27001? - RSI Security, acceso: mayo 7, 2026, </w:t>
      </w:r>
      <w:hyperlink r:id="rId26">
        <w:r w:rsidDel="00000000" w:rsidR="00000000" w:rsidRPr="00000000">
          <w:rPr>
            <w:rFonts w:ascii="Google Sans" w:cs="Google Sans" w:eastAsia="Google Sans" w:hAnsi="Google Sans"/>
            <w:color w:val="0000ee"/>
            <w:sz w:val="24"/>
            <w:szCs w:val="24"/>
            <w:u w:val="single"/>
            <w:rtl w:val="0"/>
          </w:rPr>
          <w:t xml:space="preserve">https://blog.rsisecurity.com/what-is-the-difference-between-iso-42001-and-iso-27001/</w:t>
        </w:r>
      </w:hyperlink>
      <w:r w:rsidDel="00000000" w:rsidR="00000000" w:rsidRPr="00000000">
        <w:rPr>
          <w:rtl w:val="0"/>
        </w:rPr>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Principles of Project Management | PMBOK® 7th Edition - Spoclearn, acceso: mayo 7, 2026, </w:t>
      </w:r>
      <w:hyperlink r:id="rId27">
        <w:r w:rsidDel="00000000" w:rsidR="00000000" w:rsidRPr="00000000">
          <w:rPr>
            <w:rFonts w:ascii="Google Sans" w:cs="Google Sans" w:eastAsia="Google Sans" w:hAnsi="Google Sans"/>
            <w:color w:val="0000ee"/>
            <w:sz w:val="24"/>
            <w:szCs w:val="24"/>
            <w:u w:val="single"/>
            <w:rtl w:val="0"/>
          </w:rPr>
          <w:t xml:space="preserve">https://www.spoclearn.com/blog/principles-project-management-pmbok-edition/</w:t>
        </w:r>
      </w:hyperlink>
      <w:r w:rsidDel="00000000" w:rsidR="00000000" w:rsidRPr="00000000">
        <w:rPr>
          <w:rtl w:val="0"/>
        </w:rPr>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27001 vs. ISO 27005: ¿Cuál necesitas? - Hackmetrix Blog, acceso: mayo 7, 2026, </w:t>
      </w:r>
      <w:hyperlink r:id="rId28">
        <w:r w:rsidDel="00000000" w:rsidR="00000000" w:rsidRPr="00000000">
          <w:rPr>
            <w:rFonts w:ascii="Google Sans" w:cs="Google Sans" w:eastAsia="Google Sans" w:hAnsi="Google Sans"/>
            <w:color w:val="0000ee"/>
            <w:sz w:val="24"/>
            <w:szCs w:val="24"/>
            <w:u w:val="single"/>
            <w:rtl w:val="0"/>
          </w:rPr>
          <w:t xml:space="preserve">https://blog.hackmetrix.com/iso-27001-vs-iso-27005-cual-necesitas/</w:t>
        </w:r>
      </w:hyperlink>
      <w:r w:rsidDel="00000000" w:rsidR="00000000" w:rsidRPr="00000000">
        <w:rPr>
          <w:rtl w:val="0"/>
        </w:rPr>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Preparación en línea para la certificación CAPM® y PMP® - Blue Ridge Community College, acceso: mayo 7, 2026, </w:t>
      </w:r>
      <w:hyperlink r:id="rId29">
        <w:r w:rsidDel="00000000" w:rsidR="00000000" w:rsidRPr="00000000">
          <w:rPr>
            <w:rFonts w:ascii="Google Sans" w:cs="Google Sans" w:eastAsia="Google Sans" w:hAnsi="Google Sans"/>
            <w:color w:val="0000ee"/>
            <w:sz w:val="24"/>
            <w:szCs w:val="24"/>
            <w:u w:val="single"/>
            <w:rtl w:val="0"/>
          </w:rPr>
          <w:t xml:space="preserve">https://www.blueridge.edu/es/programs-courses/online-learning/ed2go/online-project-management-training-capm-and-pmp/</w:t>
        </w:r>
      </w:hyperlink>
      <w:r w:rsidDel="00000000" w:rsidR="00000000" w:rsidRPr="00000000">
        <w:rPr>
          <w:rtl w:val="0"/>
        </w:rPr>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¿Cuál es la diferencia entre ISO 42001 e ISO 27001? - Software ISO, acceso: mayo 7, 2026, </w:t>
      </w:r>
      <w:hyperlink r:id="rId30">
        <w:r w:rsidDel="00000000" w:rsidR="00000000" w:rsidRPr="00000000">
          <w:rPr>
            <w:rFonts w:ascii="Google Sans" w:cs="Google Sans" w:eastAsia="Google Sans" w:hAnsi="Google Sans"/>
            <w:color w:val="0000ee"/>
            <w:sz w:val="24"/>
            <w:szCs w:val="24"/>
            <w:u w:val="single"/>
            <w:rtl w:val="0"/>
          </w:rPr>
          <w:t xml:space="preserve">https://isotools.org/2024/10/29/cual-es-la-diferencia-entre-iso-42001-e-iso-27001/</w:t>
        </w:r>
      </w:hyperlink>
      <w:r w:rsidDel="00000000" w:rsidR="00000000" w:rsidRPr="00000000">
        <w:rPr>
          <w:rtl w:val="0"/>
        </w:rPr>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Orgánica de Protección de datos personales - Deltech Audit, acceso: mayo 7, 2026, </w:t>
      </w:r>
      <w:hyperlink r:id="rId31">
        <w:r w:rsidDel="00000000" w:rsidR="00000000" w:rsidRPr="00000000">
          <w:rPr>
            <w:rFonts w:ascii="Google Sans" w:cs="Google Sans" w:eastAsia="Google Sans" w:hAnsi="Google Sans"/>
            <w:color w:val="0000ee"/>
            <w:sz w:val="24"/>
            <w:szCs w:val="24"/>
            <w:u w:val="single"/>
            <w:rtl w:val="0"/>
          </w:rPr>
          <w:t xml:space="preserve">https://deltechaudit.ec/ley-organica-de-proteccion-de-datos-personales/</w:t>
        </w:r>
      </w:hyperlink>
      <w:r w:rsidDel="00000000" w:rsidR="00000000" w:rsidRPr="00000000">
        <w:rPr>
          <w:rtl w:val="0"/>
        </w:rPr>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Quinto Suplemento del Registro Oficial No.459 , 26 de Mayo 2021 Normativa: Vigente Última Reforma, acceso: mayo 7, 2026, </w:t>
      </w:r>
      <w:hyperlink r:id="rId32">
        <w:r w:rsidDel="00000000" w:rsidR="00000000" w:rsidRPr="00000000">
          <w:rPr>
            <w:rFonts w:ascii="Google Sans" w:cs="Google Sans" w:eastAsia="Google Sans" w:hAnsi="Google Sans"/>
            <w:color w:val="0000ee"/>
            <w:sz w:val="24"/>
            <w:szCs w:val="24"/>
            <w:u w:val="single"/>
            <w:rtl w:val="0"/>
          </w:rPr>
          <w:t xml:space="preserve">https://www.sot.gob.ec/wp-content/uploads/2024/11/21.-Ley-Organica-de-Proteccion-de-datos.pdf</w:t>
        </w:r>
      </w:hyperlink>
      <w:r w:rsidDel="00000000" w:rsidR="00000000" w:rsidRPr="00000000">
        <w:rPr>
          <w:rtl w:val="0"/>
        </w:rPr>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RESOLUCIÓN Nº SPDP-SPD-2025-0028-R - Superintendencia de ..., acceso: mayo 7, 2026, </w:t>
      </w:r>
      <w:hyperlink r:id="rId33">
        <w:r w:rsidDel="00000000" w:rsidR="00000000" w:rsidRPr="00000000">
          <w:rPr>
            <w:rFonts w:ascii="Google Sans" w:cs="Google Sans" w:eastAsia="Google Sans" w:hAnsi="Google Sans"/>
            <w:color w:val="0000ee"/>
            <w:sz w:val="24"/>
            <w:szCs w:val="24"/>
            <w:u w:val="single"/>
            <w:rtl w:val="0"/>
          </w:rPr>
          <w:t xml:space="preserve">https://spdp.gob.ec/wp-content/uploads/2025/07/028-R.pdf</w:t>
        </w:r>
      </w:hyperlink>
      <w:r w:rsidDel="00000000" w:rsidR="00000000" w:rsidRPr="00000000">
        <w:rPr>
          <w:rtl w:val="0"/>
        </w:rPr>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ISO/IEC 38500 IT Governance: Principles and Applications - Sprintzeal.com, acceso: mayo 7, 2026, </w:t>
      </w:r>
      <w:hyperlink r:id="rId34">
        <w:r w:rsidDel="00000000" w:rsidR="00000000" w:rsidRPr="00000000">
          <w:rPr>
            <w:rFonts w:ascii="Google Sans" w:cs="Google Sans" w:eastAsia="Google Sans" w:hAnsi="Google Sans"/>
            <w:color w:val="0000ee"/>
            <w:sz w:val="24"/>
            <w:szCs w:val="24"/>
            <w:u w:val="single"/>
            <w:rtl w:val="0"/>
          </w:rPr>
          <w:t xml:space="preserve">https://www.sprintzeal.com/blog/isoiec-38500-it-foundation-and-its-application</w:t>
        </w:r>
      </w:hyperlink>
      <w:r w:rsidDel="00000000" w:rsidR="00000000" w:rsidRPr="00000000">
        <w:rPr>
          <w:rtl w:val="0"/>
        </w:rPr>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Governance Frameworks: An In-Depth Analysis Of COBIT, ISO ..., acceso: mayo 7, 2026, </w:t>
      </w:r>
      <w:hyperlink r:id="rId35">
        <w:r w:rsidDel="00000000" w:rsidR="00000000" w:rsidRPr="00000000">
          <w:rPr>
            <w:rFonts w:ascii="Google Sans" w:cs="Google Sans" w:eastAsia="Google Sans" w:hAnsi="Google Sans"/>
            <w:color w:val="0000ee"/>
            <w:sz w:val="24"/>
            <w:szCs w:val="24"/>
            <w:u w:val="single"/>
            <w:rtl w:val="0"/>
          </w:rPr>
          <w:t xml:space="preserve">https://cioindex.com/magazine/it-governance-frameworks-in-depth-analysis/</w:t>
        </w:r>
      </w:hyperlink>
      <w:r w:rsidDel="00000000" w:rsidR="00000000" w:rsidRPr="00000000">
        <w:rPr>
          <w:rtl w:val="0"/>
        </w:rPr>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COBIT Guide: Principles, Enablers &amp; IT Governance Explained - Optro, acceso: mayo 7, 2026, </w:t>
      </w:r>
      <w:hyperlink r:id="rId36">
        <w:r w:rsidDel="00000000" w:rsidR="00000000" w:rsidRPr="00000000">
          <w:rPr>
            <w:rFonts w:ascii="Google Sans" w:cs="Google Sans" w:eastAsia="Google Sans" w:hAnsi="Google Sans"/>
            <w:color w:val="0000ee"/>
            <w:sz w:val="24"/>
            <w:szCs w:val="24"/>
            <w:u w:val="single"/>
            <w:rtl w:val="0"/>
          </w:rPr>
          <w:t xml:space="preserve">https://optro.ai/blog/cobit</w:t>
        </w:r>
      </w:hyperlink>
      <w:r w:rsidDel="00000000" w:rsidR="00000000" w:rsidRPr="00000000">
        <w:rPr>
          <w:rtl w:val="0"/>
        </w:rPr>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ISO/IEC 27001 Nueva edición de la Norma: cambios y plazo - RINA.org, acceso: mayo 7, 2026, </w:t>
      </w:r>
      <w:hyperlink r:id="rId37">
        <w:r w:rsidDel="00000000" w:rsidR="00000000" w:rsidRPr="00000000">
          <w:rPr>
            <w:rFonts w:ascii="Google Sans" w:cs="Google Sans" w:eastAsia="Google Sans" w:hAnsi="Google Sans"/>
            <w:color w:val="0000ee"/>
            <w:sz w:val="24"/>
            <w:szCs w:val="24"/>
            <w:u w:val="single"/>
            <w:rtl w:val="0"/>
          </w:rPr>
          <w:t xml:space="preserve">https://www.rina.org/es/media/news/iso-iec-27001</w:t>
        </w:r>
      </w:hyperlink>
      <w:r w:rsidDel="00000000" w:rsidR="00000000" w:rsidRPr="00000000">
        <w:rPr>
          <w:rtl w:val="0"/>
        </w:rPr>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New in PMBOK 7th Edition: A Comprehensive Guide - ShriLearning, acceso: mayo 7, 2026, </w:t>
      </w:r>
      <w:hyperlink r:id="rId38">
        <w:r w:rsidDel="00000000" w:rsidR="00000000" w:rsidRPr="00000000">
          <w:rPr>
            <w:rFonts w:ascii="Google Sans" w:cs="Google Sans" w:eastAsia="Google Sans" w:hAnsi="Google Sans"/>
            <w:color w:val="0000ee"/>
            <w:sz w:val="24"/>
            <w:szCs w:val="24"/>
            <w:u w:val="single"/>
            <w:rtl w:val="0"/>
          </w:rPr>
          <w:t xml:space="preserve">https://shrilearning.com/whats-new-in-pmbok-7-edition/</w:t>
        </w:r>
      </w:hyperlink>
      <w:r w:rsidDel="00000000" w:rsidR="00000000" w:rsidRPr="00000000">
        <w:rPr>
          <w:rtl w:val="0"/>
        </w:rPr>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Management Principles: PMBOK 7 Guide - Techademy, acceso: mayo 7, 2026, </w:t>
      </w:r>
      <w:hyperlink r:id="rId39">
        <w:r w:rsidDel="00000000" w:rsidR="00000000" w:rsidRPr="00000000">
          <w:rPr>
            <w:rFonts w:ascii="Google Sans" w:cs="Google Sans" w:eastAsia="Google Sans" w:hAnsi="Google Sans"/>
            <w:color w:val="0000ee"/>
            <w:sz w:val="24"/>
            <w:szCs w:val="24"/>
            <w:u w:val="single"/>
            <w:rtl w:val="0"/>
          </w:rPr>
          <w:t xml:space="preserve">https://www.techademy.com/project-management-principles</w:t>
        </w:r>
      </w:hyperlink>
      <w:r w:rsidDel="00000000" w:rsidR="00000000" w:rsidRPr="00000000">
        <w:rPr>
          <w:rtl w:val="0"/>
        </w:rPr>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PMBOK 8 Performance Domains: 7 Domains Explained - Project Management, acceso: mayo 7, 2026, </w:t>
      </w:r>
      <w:hyperlink r:id="rId40">
        <w:r w:rsidDel="00000000" w:rsidR="00000000" w:rsidRPr="00000000">
          <w:rPr>
            <w:rFonts w:ascii="Google Sans" w:cs="Google Sans" w:eastAsia="Google Sans" w:hAnsi="Google Sans"/>
            <w:color w:val="0000ee"/>
            <w:sz w:val="24"/>
            <w:szCs w:val="24"/>
            <w:u w:val="single"/>
            <w:rtl w:val="0"/>
          </w:rPr>
          <w:t xml:space="preserve">https://projectmanagement.com.br/project-management-performance-domains/</w:t>
        </w:r>
      </w:hyperlink>
      <w:r w:rsidDel="00000000" w:rsidR="00000000" w:rsidRPr="00000000">
        <w:rPr>
          <w:rtl w:val="0"/>
        </w:rPr>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PMBOK 7th vs 8th Edition — here's what actually changed : r/pmp - Reddit, acceso: mayo 7, 2026, </w:t>
      </w:r>
      <w:hyperlink r:id="rId41">
        <w:r w:rsidDel="00000000" w:rsidR="00000000" w:rsidRPr="00000000">
          <w:rPr>
            <w:rFonts w:ascii="Google Sans" w:cs="Google Sans" w:eastAsia="Google Sans" w:hAnsi="Google Sans"/>
            <w:color w:val="0000ee"/>
            <w:sz w:val="24"/>
            <w:szCs w:val="24"/>
            <w:u w:val="single"/>
            <w:rtl w:val="0"/>
          </w:rPr>
          <w:t xml:space="preserve">https://www.reddit.com/r/pmp/comments/1ry05ma/pmbok_7th_vs_8th_edition_heres_what_actually/</w:t>
        </w:r>
      </w:hyperlink>
      <w:r w:rsidDel="00000000" w:rsidR="00000000" w:rsidRPr="00000000">
        <w:rPr>
          <w:rtl w:val="0"/>
        </w:rPr>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Certificaciones - PMI, acceso: mayo 7, 2026, </w:t>
      </w:r>
      <w:hyperlink r:id="rId42">
        <w:r w:rsidDel="00000000" w:rsidR="00000000" w:rsidRPr="00000000">
          <w:rPr>
            <w:rFonts w:ascii="Google Sans" w:cs="Google Sans" w:eastAsia="Google Sans" w:hAnsi="Google Sans"/>
            <w:color w:val="0000ee"/>
            <w:sz w:val="24"/>
            <w:szCs w:val="24"/>
            <w:u w:val="single"/>
            <w:rtl w:val="0"/>
          </w:rPr>
          <w:t xml:space="preserve">https://www.pmi.org/america-latina/certificaciones</w:t>
        </w:r>
      </w:hyperlink>
      <w:r w:rsidDel="00000000" w:rsidR="00000000" w:rsidRPr="00000000">
        <w:rPr>
          <w:rtl w:val="0"/>
        </w:rPr>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camino para obtener un PMP Certification en Ecuador, acceso: mayo 7, 2026, </w:t>
      </w:r>
      <w:hyperlink r:id="rId43">
        <w:r w:rsidDel="00000000" w:rsidR="00000000" w:rsidRPr="00000000">
          <w:rPr>
            <w:rFonts w:ascii="Google Sans" w:cs="Google Sans" w:eastAsia="Google Sans" w:hAnsi="Google Sans"/>
            <w:color w:val="0000ee"/>
            <w:sz w:val="24"/>
            <w:szCs w:val="24"/>
            <w:u w:val="single"/>
            <w:rtl w:val="0"/>
          </w:rPr>
          <w:t xml:space="preserve">https://www.aden.org/business-magazine/el-camino-para-obtener-un-pmp-certification-en-ecuador/</w:t>
        </w:r>
      </w:hyperlink>
      <w:r w:rsidDel="00000000" w:rsidR="00000000" w:rsidRPr="00000000">
        <w:rPr>
          <w:rtl w:val="0"/>
        </w:rPr>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Certificación Riesgos PMI-RMP - Proyectum, acceso: mayo 7, 2026, </w:t>
      </w:r>
      <w:hyperlink r:id="rId44">
        <w:r w:rsidDel="00000000" w:rsidR="00000000" w:rsidRPr="00000000">
          <w:rPr>
            <w:rFonts w:ascii="Google Sans" w:cs="Google Sans" w:eastAsia="Google Sans" w:hAnsi="Google Sans"/>
            <w:color w:val="0000ee"/>
            <w:sz w:val="24"/>
            <w:szCs w:val="24"/>
            <w:u w:val="single"/>
            <w:rtl w:val="0"/>
          </w:rPr>
          <w:t xml:space="preserve">https://proyectum.com/sistema/cursos/certificacion-riesgos/</w:t>
        </w:r>
      </w:hyperlink>
      <w:r w:rsidDel="00000000" w:rsidR="00000000" w:rsidRPr="00000000">
        <w:rPr>
          <w:rtl w:val="0"/>
        </w:rPr>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Cursos de capacitación - ISO 31000 Risk Management - PECB, acceso: mayo 7, 2026, </w:t>
      </w:r>
      <w:hyperlink r:id="rId45">
        <w:r w:rsidDel="00000000" w:rsidR="00000000" w:rsidRPr="00000000">
          <w:rPr>
            <w:rFonts w:ascii="Google Sans" w:cs="Google Sans" w:eastAsia="Google Sans" w:hAnsi="Google Sans"/>
            <w:color w:val="0000ee"/>
            <w:sz w:val="24"/>
            <w:szCs w:val="24"/>
            <w:u w:val="single"/>
            <w:rtl w:val="0"/>
          </w:rPr>
          <w:t xml:space="preserve">https://pecb.com/es/education-and-certification-for-individuals/iso-31000</w:t>
        </w:r>
      </w:hyperlink>
      <w:r w:rsidDel="00000000" w:rsidR="00000000" w:rsidRPr="00000000">
        <w:rPr>
          <w:rtl w:val="0"/>
        </w:rPr>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Certified Risk Management Professional (ISO31000) - Global Trust Association, acceso: mayo 7, 2026, </w:t>
      </w:r>
      <w:hyperlink r:id="rId46">
        <w:r w:rsidDel="00000000" w:rsidR="00000000" w:rsidRPr="00000000">
          <w:rPr>
            <w:rFonts w:ascii="Google Sans" w:cs="Google Sans" w:eastAsia="Google Sans" w:hAnsi="Google Sans"/>
            <w:color w:val="0000ee"/>
            <w:sz w:val="24"/>
            <w:szCs w:val="24"/>
            <w:u w:val="single"/>
            <w:rtl w:val="0"/>
          </w:rPr>
          <w:t xml:space="preserve">https://globaltrustassociation.org/es/certification/certified-risk-management-professional/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projectmanagement.com.br/project-management-performance-domains/" TargetMode="External"/><Relationship Id="rId20" Type="http://schemas.openxmlformats.org/officeDocument/2006/relationships/hyperlink" Target="https://pages.nist.gov/800-63-3/sp800-63b.html" TargetMode="External"/><Relationship Id="rId42" Type="http://schemas.openxmlformats.org/officeDocument/2006/relationships/hyperlink" Target="https://www.pmi.org/america-latina/certificaciones" TargetMode="External"/><Relationship Id="rId41" Type="http://schemas.openxmlformats.org/officeDocument/2006/relationships/hyperlink" Target="https://www.reddit.com/r/pmp/comments/1ry05ma/pmbok_7th_vs_8th_edition_heres_what_actually/" TargetMode="External"/><Relationship Id="rId22" Type="http://schemas.openxmlformats.org/officeDocument/2006/relationships/hyperlink" Target="https://cyssde.eu/capacity-building/penetration-testing/pentesting-types-of-methodologies-and-frameworks/" TargetMode="External"/><Relationship Id="rId44" Type="http://schemas.openxmlformats.org/officeDocument/2006/relationships/hyperlink" Target="https://proyectum.com/sistema/cursos/certificacion-riesgos/" TargetMode="External"/><Relationship Id="rId21" Type="http://schemas.openxmlformats.org/officeDocument/2006/relationships/hyperlink" Target="https://pages.nist.gov/800-63-3/sp800-63c.html" TargetMode="External"/><Relationship Id="rId43" Type="http://schemas.openxmlformats.org/officeDocument/2006/relationships/hyperlink" Target="https://www.aden.org/business-magazine/el-camino-para-obtener-un-pmp-certification-en-ecuador/" TargetMode="External"/><Relationship Id="rId24" Type="http://schemas.openxmlformats.org/officeDocument/2006/relationships/hyperlink" Target="https://www.redhat.com/es/topics/hyperconverged-infrastructure/what-is-hyperconverged-infrastructure" TargetMode="External"/><Relationship Id="rId46" Type="http://schemas.openxmlformats.org/officeDocument/2006/relationships/hyperlink" Target="https://globaltrustassociation.org/es/certification/certified-risk-management-professional/" TargetMode="External"/><Relationship Id="rId23" Type="http://schemas.openxmlformats.org/officeDocument/2006/relationships/hyperlink" Target="https://owasp.org/www-project-web-security-testing-guide/v42/3-The_OWASP_Testing_Framework/1-Penetration_Testing_Methodologies" TargetMode="External"/><Relationship Id="rId45" Type="http://schemas.openxmlformats.org/officeDocument/2006/relationships/hyperlink" Target="https://pecb.com/es/education-and-certification-for-individuals/iso-310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4pmti.com/learn/project-management-methodologies/" TargetMode="External"/><Relationship Id="rId26" Type="http://schemas.openxmlformats.org/officeDocument/2006/relationships/hyperlink" Target="https://blog.rsisecurity.com/what-is-the-difference-between-iso-42001-and-iso-27001/" TargetMode="External"/><Relationship Id="rId25" Type="http://schemas.openxmlformats.org/officeDocument/2006/relationships/hyperlink" Target="https://www.hiberus.com/crecemos-contigo/los-estandares-de-calidad-del-software-mas-importantes/" TargetMode="External"/><Relationship Id="rId28" Type="http://schemas.openxmlformats.org/officeDocument/2006/relationships/hyperlink" Target="https://blog.hackmetrix.com/iso-27001-vs-iso-27005-cual-necesitas/" TargetMode="External"/><Relationship Id="rId27" Type="http://schemas.openxmlformats.org/officeDocument/2006/relationships/hyperlink" Target="https://www.spoclearn.com/blog/principles-project-management-pmbok-edition/"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blueridge.edu/es/programs-courses/online-learning/ed2go/online-project-management-training-capm-and-pmp/" TargetMode="External"/><Relationship Id="rId7" Type="http://schemas.openxmlformats.org/officeDocument/2006/relationships/hyperlink" Target="https://triskellsoftware.com/blog/agile-vs-waterfall-vs-hybrid/" TargetMode="External"/><Relationship Id="rId8" Type="http://schemas.openxmlformats.org/officeDocument/2006/relationships/hyperlink" Target="https://prismppm.com/blog/pm-best-practices/agile-vs-waterfall-vs-hybrid-how-pmos-can-manage-multiple-methodologies-at-scale/" TargetMode="External"/><Relationship Id="rId31" Type="http://schemas.openxmlformats.org/officeDocument/2006/relationships/hyperlink" Target="https://deltechaudit.ec/ley-organica-de-proteccion-de-datos-personales/" TargetMode="External"/><Relationship Id="rId30" Type="http://schemas.openxmlformats.org/officeDocument/2006/relationships/hyperlink" Target="https://isotools.org/2024/10/29/cual-es-la-diferencia-entre-iso-42001-e-iso-27001/" TargetMode="External"/><Relationship Id="rId11" Type="http://schemas.openxmlformats.org/officeDocument/2006/relationships/hyperlink" Target="https://www.worldstream.com/es/casos-de-uso/hyperconverged-infrastructure-hci/" TargetMode="External"/><Relationship Id="rId33" Type="http://schemas.openxmlformats.org/officeDocument/2006/relationships/hyperlink" Target="https://spdp.gob.ec/wp-content/uploads/2025/07/028-R.pdf" TargetMode="External"/><Relationship Id="rId10" Type="http://schemas.openxmlformats.org/officeDocument/2006/relationships/hyperlink" Target="https://www.snowflake.com/en/fundamentals/data-governance/framework/dama-dmbok/" TargetMode="External"/><Relationship Id="rId32" Type="http://schemas.openxmlformats.org/officeDocument/2006/relationships/hyperlink" Target="https://www.sot.gob.ec/wp-content/uploads/2024/11/21.-Ley-Organica-de-Proteccion-de-datos.pdf" TargetMode="External"/><Relationship Id="rId13" Type="http://schemas.openxmlformats.org/officeDocument/2006/relationships/hyperlink" Target="https://redcanary.com/cybersecurity-101/endpoint-security/edr-vs-mdr-vs-xdr/" TargetMode="External"/><Relationship Id="rId35" Type="http://schemas.openxmlformats.org/officeDocument/2006/relationships/hyperlink" Target="https://cioindex.com/magazine/it-governance-frameworks-in-depth-analysis/" TargetMode="External"/><Relationship Id="rId12" Type="http://schemas.openxmlformats.org/officeDocument/2006/relationships/hyperlink" Target="https://www.ibm.com/es-es/think/topics/hyperconverged-infrastructure" TargetMode="External"/><Relationship Id="rId34" Type="http://schemas.openxmlformats.org/officeDocument/2006/relationships/hyperlink" Target="https://www.sprintzeal.com/blog/isoiec-38500-it-foundation-and-its-application" TargetMode="External"/><Relationship Id="rId15" Type="http://schemas.openxmlformats.org/officeDocument/2006/relationships/hyperlink" Target="https://www.sophos.com/en-us/cybersecurity-explained/what-is-xdr-security" TargetMode="External"/><Relationship Id="rId37" Type="http://schemas.openxmlformats.org/officeDocument/2006/relationships/hyperlink" Target="https://www.rina.org/es/media/news/iso-iec-27001" TargetMode="External"/><Relationship Id="rId14" Type="http://schemas.openxmlformats.org/officeDocument/2006/relationships/hyperlink" Target="https://www.acronis.com/en/blog/posts/edr-mdr-xdr-everything-you-need-to-know/" TargetMode="External"/><Relationship Id="rId36" Type="http://schemas.openxmlformats.org/officeDocument/2006/relationships/hyperlink" Target="https://optro.ai/blog/cobit" TargetMode="External"/><Relationship Id="rId17" Type="http://schemas.openxmlformats.org/officeDocument/2006/relationships/hyperlink" Target="https://www.tufin.com/blog/navigating-types-firewall-configuration-best-practices" TargetMode="External"/><Relationship Id="rId39" Type="http://schemas.openxmlformats.org/officeDocument/2006/relationships/hyperlink" Target="https://www.techademy.com/project-management-principles" TargetMode="External"/><Relationship Id="rId16" Type="http://schemas.openxmlformats.org/officeDocument/2006/relationships/hyperlink" Target="https://www.nist.gov/publications/guidelines-firewalls-and-firewall-policy" TargetMode="External"/><Relationship Id="rId38" Type="http://schemas.openxmlformats.org/officeDocument/2006/relationships/hyperlink" Target="https://shrilearning.com/whats-new-in-pmbok-7-edition/" TargetMode="External"/><Relationship Id="rId19" Type="http://schemas.openxmlformats.org/officeDocument/2006/relationships/hyperlink" Target="https://pages.nist.gov/800-63-3/sp800-63-3.html" TargetMode="External"/><Relationship Id="rId18" Type="http://schemas.openxmlformats.org/officeDocument/2006/relationships/hyperlink" Target="https://www.infosecinstitute.com/resources/network-security-101/firewall-types-and-architect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