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4325C"/>
          <w:sz w:val="56"/>
        </w:rPr>
        <w:t>AutoPark</w:t>
      </w:r>
    </w:p>
    <w:p>
      <w:pPr>
        <w:spacing w:after="40"/>
        <w:jc w:val="center"/>
      </w:pPr>
      <w:r>
        <w:rPr>
          <w:color w:val="008788"/>
          <w:sz w:val="28"/>
        </w:rPr>
        <w:t>Autonomous Self-Parking Platform</w:t>
      </w:r>
    </w:p>
    <w:p>
      <w:pPr>
        <w:spacing w:after="40"/>
        <w:jc w:val="center"/>
      </w:pPr>
      <w:r>
        <w:rPr>
          <w:color w:val="55656F"/>
          <w:sz w:val="20"/>
        </w:rPr>
        <w:t>Business Plan — AutoDrive Challenge II Year 5  |  Mobility Innovation</w:t>
      </w:r>
    </w:p>
    <w:p>
      <w:pPr>
        <w:jc w:val="center"/>
      </w:pPr>
      <w:r>
        <w:rPr>
          <w:i/>
          <w:color w:val="55656F"/>
          <w:sz w:val="20"/>
        </w:rPr>
        <w:t>aUToronto  |  University of Toronto  |  March 2026</w:t>
      </w:r>
    </w:p>
    <w:p>
      <w:pPr>
        <w:spacing w:after="40"/>
      </w:pPr>
    </w:p>
    <w:tbl>
      <w:tblPr>
        <w:tblStyle w:val="TableGrid"/>
        <w:tblW w:type="auto" w:w="0"/>
        <w:tblLook w:firstColumn="1" w:firstRow="1" w:lastColumn="0" w:lastRow="0" w:noHBand="0" w:noVBand="1" w:val="04A0"/>
      </w:tblPr>
      <w:tblGrid>
        <w:gridCol w:w="4680"/>
        <w:gridCol w:w="4680"/>
      </w:tblGrid>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Legal Name</w:t>
            </w:r>
          </w:p>
        </w:tc>
        <w:tc>
          <w:tcPr>
            <w:tcW w:type="dxa" w:w="6480"/>
            <w:shd w:val="clear" w:color="auto" w:fill="E8F0F8"/>
            <w:tcBorders>
              <w:top w:val="single" w:sz="4" w:space="0" w:color="AACCEE"/>
              <w:left w:val="single" w:sz="4" w:space="0" w:color="AACCEE"/>
              <w:bottom w:val="single" w:sz="4" w:space="0" w:color="AACCEE"/>
              <w:right w:val="single" w:sz="4" w:space="0" w:color="AACCEE"/>
            </w:tcBorders>
          </w:tcPr>
          <w:p>
            <w:r>
              <w:rPr>
                <w:sz w:val="18"/>
              </w:rPr>
              <w:t>AutoPark Inc. (proposed)</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Trading Name</w:t>
            </w:r>
          </w:p>
        </w:tc>
        <w:tc>
          <w:tcPr>
            <w:tcW w:type="dxa" w:w="6480"/>
            <w:shd w:val="clear" w:color="auto" w:fill="F5F8FC"/>
            <w:tcBorders>
              <w:top w:val="single" w:sz="4" w:space="0" w:color="AACCEE"/>
              <w:left w:val="single" w:sz="4" w:space="0" w:color="AACCEE"/>
              <w:bottom w:val="single" w:sz="4" w:space="0" w:color="AACCEE"/>
              <w:right w:val="single" w:sz="4" w:space="0" w:color="AACCEE"/>
            </w:tcBorders>
          </w:tcPr>
          <w:p>
            <w:r>
              <w:rPr>
                <w:sz w:val="18"/>
              </w:rPr>
              <w:t>AutoPark</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Business Address</w:t>
            </w:r>
          </w:p>
        </w:tc>
        <w:tc>
          <w:tcPr>
            <w:tcW w:type="dxa" w:w="6480"/>
            <w:shd w:val="clear" w:color="auto" w:fill="E8F0F8"/>
            <w:tcBorders>
              <w:top w:val="single" w:sz="4" w:space="0" w:color="AACCEE"/>
              <w:left w:val="single" w:sz="4" w:space="0" w:color="AACCEE"/>
              <w:bottom w:val="single" w:sz="4" w:space="0" w:color="AACCEE"/>
              <w:right w:val="single" w:sz="4" w:space="0" w:color="AACCEE"/>
            </w:tcBorders>
          </w:tcPr>
          <w:p>
            <w:r>
              <w:rPr>
                <w:sz w:val="18"/>
              </w:rPr>
              <w:t>University of Toronto, 27 King's College Circle, Toronto, ON M5S 1A1</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Phone</w:t>
            </w:r>
          </w:p>
        </w:tc>
        <w:tc>
          <w:tcPr>
            <w:tcW w:type="dxa" w:w="6480"/>
            <w:shd w:val="clear" w:color="auto" w:fill="F5F8FC"/>
            <w:tcBorders>
              <w:top w:val="single" w:sz="4" w:space="0" w:color="AACCEE"/>
              <w:left w:val="single" w:sz="4" w:space="0" w:color="AACCEE"/>
              <w:bottom w:val="single" w:sz="4" w:space="0" w:color="AACCEE"/>
              <w:right w:val="single" w:sz="4" w:space="0" w:color="AACCEE"/>
            </w:tcBorders>
          </w:tcPr>
          <w:p>
            <w:r>
              <w:rPr>
                <w:sz w:val="18"/>
              </w:rPr>
              <w:t>+1 (416) 978-2011</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Email</w:t>
            </w:r>
          </w:p>
        </w:tc>
        <w:tc>
          <w:tcPr>
            <w:tcW w:type="dxa" w:w="6480"/>
            <w:shd w:val="clear" w:color="auto" w:fill="E8F0F8"/>
            <w:tcBorders>
              <w:top w:val="single" w:sz="4" w:space="0" w:color="AACCEE"/>
              <w:left w:val="single" w:sz="4" w:space="0" w:color="AACCEE"/>
              <w:bottom w:val="single" w:sz="4" w:space="0" w:color="AACCEE"/>
              <w:right w:val="single" w:sz="4" w:space="0" w:color="AACCEE"/>
            </w:tcBorders>
          </w:tcPr>
          <w:p>
            <w:r>
              <w:rPr>
                <w:sz w:val="18"/>
              </w:rPr>
              <w:t>autopark@autodrive.utoronto.ca</w:t>
            </w:r>
          </w:p>
        </w:tc>
      </w:tr>
      <w:tr>
        <w:tc>
          <w:tcPr>
            <w:tcW w:type="dxa" w:w="2880"/>
            <w:shd w:val="clear" w:color="auto" w:fill="D0E0F0"/>
            <w:tcBorders>
              <w:top w:val="single" w:sz="4" w:space="0" w:color="AACCEE"/>
              <w:left w:val="single" w:sz="4" w:space="0" w:color="AACCEE"/>
              <w:bottom w:val="single" w:sz="4" w:space="0" w:color="AACCEE"/>
              <w:right w:val="single" w:sz="4" w:space="0" w:color="AACCEE"/>
            </w:tcBorders>
          </w:tcPr>
          <w:p>
            <w:r>
              <w:rPr>
                <w:b/>
                <w:sz w:val="18"/>
              </w:rPr>
              <w:t>Business Model</w:t>
            </w:r>
          </w:p>
        </w:tc>
        <w:tc>
          <w:tcPr>
            <w:tcW w:type="dxa" w:w="6480"/>
            <w:shd w:val="clear" w:color="auto" w:fill="F5F8FC"/>
            <w:tcBorders>
              <w:top w:val="single" w:sz="4" w:space="0" w:color="AACCEE"/>
              <w:left w:val="single" w:sz="4" w:space="0" w:color="AACCEE"/>
              <w:bottom w:val="single" w:sz="4" w:space="0" w:color="AACCEE"/>
              <w:right w:val="single" w:sz="4" w:space="0" w:color="AACCEE"/>
            </w:tcBorders>
          </w:tcPr>
          <w:p>
            <w:r>
              <w:rPr>
                <w:sz w:val="18"/>
              </w:rPr>
              <w:t>Two-sided AV Parking Marketplace — OEM Licensing + SaaS + Transaction Commission</w:t>
            </w:r>
          </w:p>
        </w:tc>
      </w:tr>
    </w:tbl>
    <w:p>
      <w:r>
        <w:br w:type="page"/>
      </w:r>
    </w:p>
    <w:p>
      <w:pPr>
        <w:spacing w:before="360" w:after="80"/>
        <w:shd w:val="clear" w:color="auto" w:fill="143256"/>
        <w:ind w:left="120"/>
      </w:pPr>
      <w:r>
        <w:rPr>
          <w:b/>
          <w:color w:val="FFFFFF"/>
          <w:sz w:val="28"/>
        </w:rPr>
        <w:t>1.  BUSINESS OVERVIEW</w:t>
      </w:r>
    </w:p>
    <w:p>
      <w:pPr>
        <w:spacing w:before="200" w:after="40"/>
        <w:pBdr>
          <w:bottom w:val="single" w:sz="4" w:space="1" w:color="008788"/>
        </w:pBdr>
      </w:pPr>
      <w:r>
        <w:rPr>
          <w:b/>
          <w:color w:val="008788"/>
          <w:sz w:val="24"/>
        </w:rPr>
        <w:t>1.1  Description of the Business</w:t>
      </w:r>
    </w:p>
    <w:p>
      <w:pPr>
        <w:spacing w:after="80"/>
      </w:pPr>
      <w:r>
        <w:rPr>
          <w:sz w:val="20"/>
        </w:rPr>
        <w:t>AutoPark is a two-sided autonomous parking marketplace that enables personal automated vehicles (AVs) to self-park without driver involvement. A vehicle drops off its owner, autonomously navigates to an affiliated parking garage, self-parks using onboard hardware (OBU), communicates with a gate-mounted road-side unit (RSU) via C-V2X PC5 sidelink, and returns on command — all orchestrated through the AutoPark cloud platform.</w:t>
      </w:r>
    </w:p>
    <w:p>
      <w:pPr>
        <w:spacing w:after="80"/>
      </w:pPr>
      <w:r>
        <w:rPr>
          <w:sz w:val="20"/>
        </w:rPr>
        <w:t>The business operates across four interlocking revenue streams: (1) a one-time OEM licensing fee per vehicle model integration, (2) an annual SaaS subscription per enrolled vehicle for live map and network access, (3) a 35 % transaction commission split between lot operators and drivers on every parking session, and (4) a flat convenience fee ($0.49–$0.99) on free or metered lots that do not set their own price.</w:t>
      </w:r>
    </w:p>
    <w:p>
      <w:pPr>
        <w:spacing w:before="120" w:after="120"/>
        <w:ind w:left="200"/>
        <w:shd w:val="clear" w:color="auto" w:fill="E8F4F4"/>
      </w:pPr>
      <w:r>
        <w:rPr>
          <w:i/>
          <w:color w:val="006060"/>
          <w:sz w:val="20"/>
        </w:rPr>
        <w:t>AutoPark turns any C-V2X-enabled personal AV into a self-valet service — no attendant, no app navigation, no GNSS signal required underground.</w:t>
      </w:r>
    </w:p>
    <w:p>
      <w:pPr>
        <w:spacing w:before="200" w:after="40"/>
        <w:pBdr>
          <w:bottom w:val="single" w:sz="4" w:space="1" w:color="008788"/>
        </w:pBdr>
      </w:pPr>
      <w:r>
        <w:rPr>
          <w:b/>
          <w:color w:val="008788"/>
          <w:sz w:val="24"/>
        </w:rPr>
        <w:t>1.2  Major Demographic, Economic, Social and Cultural Factors</w:t>
      </w:r>
    </w:p>
    <w:p>
      <w:pPr>
        <w:spacing w:after="80"/>
      </w:pPr>
      <w:r>
        <w:rPr>
          <w:sz w:val="20"/>
        </w:rPr>
        <w:t>AutoPark's commercial opportunity is shaped by several converging macro forces:</w:t>
      </w:r>
    </w:p>
    <w:p>
      <w:pPr>
        <w:pStyle w:val="ListBullet"/>
        <w:spacing w:after="40"/>
      </w:pPr>
      <w:r>
        <w:rPr>
          <w:b/>
          <w:sz w:val="20"/>
        </w:rPr>
        <w:t xml:space="preserve">SAE Level 3–4 vehicles are projected to represent 12 % of new-car sales by 2030 (McKinsey, 2024). Automakers shipping OTA-capable ADAS platforms (GM Super Cruise, Ford BlueCruise, NVIDIA DRIVE Orin) are actively seeking recurring-revenue software modules to layer on top.: </w:t>
      </w:r>
      <w:r>
        <w:rPr>
          <w:sz w:val="20"/>
        </w:rPr>
        <w:t>AV Adoption Curve</w:t>
      </w:r>
    </w:p>
    <w:p>
      <w:pPr>
        <w:pStyle w:val="ListBullet"/>
        <w:spacing w:after="40"/>
      </w:pPr>
      <w:r>
        <w:rPr>
          <w:b/>
          <w:sz w:val="20"/>
        </w:rPr>
        <w:t xml:space="preserve">Toronto has 4.1 M residents and one of North America's tightest parking-spot-to-vehicle ratios at 0.44:1. Premium downtown garages charge $25–$50/day, driving price sensitivity among commuters.: </w:t>
      </w:r>
      <w:r>
        <w:rPr>
          <w:sz w:val="20"/>
        </w:rPr>
        <w:t>Urban Density &amp; Parking Scarcity</w:t>
      </w:r>
    </w:p>
    <w:p>
      <w:pPr>
        <w:pStyle w:val="ListBullet"/>
        <w:spacing w:after="40"/>
      </w:pPr>
      <w:r>
        <w:rPr>
          <w:b/>
          <w:sz w:val="20"/>
        </w:rPr>
        <w:t xml:space="preserve">Transport Canada's ITS/C-V2X spectrum allocation (5.9 GHz) was confirmed in 2023. Ontario's AV pilot framework (Ontario Regulation 306/15) already permits SAE L4 testing without a human at the wheel in designated zones.: </w:t>
      </w:r>
      <w:r>
        <w:rPr>
          <w:sz w:val="20"/>
        </w:rPr>
        <w:t>C-V2X Policy Tailwind</w:t>
      </w:r>
    </w:p>
    <w:p>
      <w:pPr>
        <w:pStyle w:val="ListBullet"/>
        <w:spacing w:after="40"/>
      </w:pPr>
      <w:r>
        <w:rPr>
          <w:b/>
          <w:sz w:val="20"/>
        </w:rPr>
        <w:t xml:space="preserve">Millennials and Gen-Z owners of premium EVs (Tesla, BMW, Mercedes) already monetise their idle assets via Turo and Airbnb — AutoPark extends this logic to parking arbitrage ('turn your car into an Uber when you don't need to park').: </w:t>
      </w:r>
      <w:r>
        <w:rPr>
          <w:sz w:val="20"/>
        </w:rPr>
        <w:t>Sharing-Economy Mindset</w:t>
      </w:r>
    </w:p>
    <w:p>
      <w:pPr>
        <w:pStyle w:val="ListBullet"/>
        <w:spacing w:after="40"/>
      </w:pPr>
      <w:r>
        <w:rPr>
          <w:b/>
          <w:sz w:val="20"/>
        </w:rPr>
        <w:t xml:space="preserve">Municipality-owned lots face political pressure to reduce surface parking and reclaim land. AutoPark-affiliated garages signal tech-forward sustainability, helping operators justify premium rates.: </w:t>
      </w:r>
      <w:r>
        <w:rPr>
          <w:sz w:val="20"/>
        </w:rPr>
        <w:t>ESG / Parking Revenue Pressure</w:t>
      </w:r>
    </w:p>
    <w:p>
      <w:pPr>
        <w:spacing w:before="200" w:after="40"/>
        <w:pBdr>
          <w:bottom w:val="single" w:sz="4" w:space="1" w:color="008788"/>
        </w:pBdr>
      </w:pPr>
      <w:r>
        <w:rPr>
          <w:b/>
          <w:color w:val="008788"/>
          <w:sz w:val="24"/>
        </w:rPr>
        <w:t>1.3  Major Players in the Industry</w:t>
      </w:r>
    </w:p>
    <w:p>
      <w:pPr>
        <w:spacing w:after="80"/>
      </w:pPr>
      <w:r>
        <w:rPr>
          <w:sz w:val="20"/>
        </w:rPr>
        <w:t>AutoPark operates at the intersection of three existing markets: autonomous valet, parking management software, and V2X infrastructure. Key industry participants are:</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Company</w:t>
            </w:r>
          </w:p>
        </w:tc>
        <w:tc>
          <w:tcPr>
            <w:tcW w:type="dxa" w:w="201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Product</w:t>
            </w:r>
          </w:p>
        </w:tc>
        <w:tc>
          <w:tcPr>
            <w:tcW w:type="dxa" w:w="17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Segment</w:t>
            </w:r>
          </w:p>
        </w:tc>
        <w:tc>
          <w:tcPr>
            <w:tcW w:type="dxa" w:w="388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Key Gap AutoPark Addresses</w:t>
            </w:r>
          </w:p>
        </w:tc>
      </w:tr>
      <w:tr>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Bosch</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Automated Valet Parking (AVP)</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Infrastructure OEM</w:t>
            </w:r>
          </w:p>
        </w:tc>
        <w:tc>
          <w:tcPr>
            <w:tcW w:type="dxa" w:w="3888"/>
            <w:shd w:val="clear" w:color="auto" w:fill="F2F4F7"/>
            <w:tcBorders>
              <w:top w:val="single" w:sz="4" w:space="0" w:color="CCCCCC"/>
              <w:left w:val="single" w:sz="4" w:space="0" w:color="CCCCCC"/>
              <w:bottom w:val="single" w:sz="4" w:space="0" w:color="CCCCCC"/>
              <w:right w:val="single" w:sz="4" w:space="0" w:color="CCCCCC"/>
            </w:tcBorders>
          </w:tcPr>
          <w:p>
            <w:r>
              <w:rPr>
                <w:sz w:val="18"/>
              </w:rPr>
              <w:t>$200 k+ per garage; proprietary; not C-V2X</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Valeo</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IntelliPark</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Tier-1 Supplier</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sz w:val="18"/>
              </w:rPr>
              <w:t>OEM-locked; no independent operator marketplace</w:t>
            </w:r>
          </w:p>
        </w:tc>
      </w:tr>
      <w:tr>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Tesla</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Enhanced Summon / FSD Parking</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OEM First-Party</w:t>
            </w:r>
          </w:p>
        </w:tc>
        <w:tc>
          <w:tcPr>
            <w:tcW w:type="dxa" w:w="3888"/>
            <w:shd w:val="clear" w:color="auto" w:fill="F2F4F7"/>
            <w:tcBorders>
              <w:top w:val="single" w:sz="4" w:space="0" w:color="CCCCCC"/>
              <w:left w:val="single" w:sz="4" w:space="0" w:color="CCCCCC"/>
              <w:bottom w:val="single" w:sz="4" w:space="0" w:color="CCCCCC"/>
              <w:right w:val="single" w:sz="4" w:space="0" w:color="CCCCCC"/>
            </w:tcBorders>
          </w:tcPr>
          <w:p>
            <w:r>
              <w:rPr>
                <w:sz w:val="18"/>
              </w:rPr>
              <w:t>Fails underground (GPS-dependent); Tesla-only</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SpotHero / ParkWhiz</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Parking Booking App</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Marketplace</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sz w:val="18"/>
              </w:rPr>
              <w:t>No autonomous execution; human-driven only</w:t>
            </w:r>
          </w:p>
        </w:tc>
      </w:tr>
      <w:tr>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Conduent / T2 Systems</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Parking Management SaaS</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Enterprise Software</w:t>
            </w:r>
          </w:p>
        </w:tc>
        <w:tc>
          <w:tcPr>
            <w:tcW w:type="dxa" w:w="3888"/>
            <w:shd w:val="clear" w:color="auto" w:fill="F2F4F7"/>
            <w:tcBorders>
              <w:top w:val="single" w:sz="4" w:space="0" w:color="CCCCCC"/>
              <w:left w:val="single" w:sz="4" w:space="0" w:color="CCCCCC"/>
              <w:bottom w:val="single" w:sz="4" w:space="0" w:color="CCCCCC"/>
              <w:right w:val="single" w:sz="4" w:space="0" w:color="CCCCCC"/>
            </w:tcBorders>
          </w:tcPr>
          <w:p>
            <w:r>
              <w:rPr>
                <w:sz w:val="18"/>
              </w:rPr>
              <w:t>No AV integration; payment backend only</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Parkopedia</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Parking Data &amp; Maps API</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Data Provider</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r>
              <w:rPr>
                <w:sz w:val="18"/>
              </w:rPr>
              <w:t>No execution layer; API supplier to AutoPark</w:t>
            </w:r>
          </w:p>
        </w:tc>
      </w:tr>
    </w:tbl>
    <w:p>
      <w:pPr>
        <w:spacing w:before="200" w:after="40"/>
        <w:pBdr>
          <w:bottom w:val="single" w:sz="4" w:space="1" w:color="008788"/>
        </w:pBdr>
      </w:pPr>
      <w:r>
        <w:rPr>
          <w:b/>
          <w:color w:val="008788"/>
          <w:sz w:val="24"/>
        </w:rPr>
        <w:t>1.4  Trends in the Industry</w:t>
      </w:r>
    </w:p>
    <w:p>
      <w:pPr>
        <w:pStyle w:val="ListBullet"/>
        <w:spacing w:after="40"/>
      </w:pPr>
      <w:r>
        <w:rPr>
          <w:b/>
          <w:sz w:val="20"/>
        </w:rPr>
        <w:t xml:space="preserve">FCC and Transport Canada have allocated 5.9 GHz for C-V2X. Qualcomm's Snapdragon 2150 (announced 2024, production 2025) is the first monolithic C-V2X + GNSS SoC, reducing OBU BOM by ~40 % vs. discrete chipsets.: </w:t>
      </w:r>
      <w:r>
        <w:rPr>
          <w:sz w:val="20"/>
        </w:rPr>
        <w:t>C-V2X PC5 Sidelink Rollout</w:t>
      </w:r>
    </w:p>
    <w:p>
      <w:pPr>
        <w:pStyle w:val="ListBullet"/>
        <w:spacing w:after="40"/>
      </w:pPr>
      <w:r>
        <w:rPr>
          <w:b/>
          <w:sz w:val="20"/>
        </w:rPr>
        <w:t xml:space="preserve">Smart-city funding (ICIP, SmartCities Canada) is driving RSU-readiness in municipal garages. GreenP (Toronto Parking Authority) digitised 16,000+ spaces with RFID and LPR systems — compatible with AutoPark's authentication layer.: </w:t>
      </w:r>
      <w:r>
        <w:rPr>
          <w:sz w:val="20"/>
        </w:rPr>
        <w:t>Garage Infrastructure Upgrades</w:t>
      </w:r>
    </w:p>
    <w:p>
      <w:pPr>
        <w:pStyle w:val="ListBullet"/>
        <w:spacing w:after="40"/>
      </w:pPr>
      <w:r>
        <w:rPr>
          <w:b/>
          <w:sz w:val="20"/>
        </w:rPr>
        <w:t xml:space="preserve">AutoMakers have learned from Tesla's $15/month FSD subscription that post-sale recurring software revenue is high-margin. OEM partnerships (GM, BMW, Stellantis) are actively seeking parking/navigation SaaS partners.: </w:t>
      </w:r>
      <w:r>
        <w:rPr>
          <w:sz w:val="20"/>
        </w:rPr>
        <w:t>OEM SaaS Monetisation</w:t>
      </w:r>
    </w:p>
    <w:p>
      <w:pPr>
        <w:pStyle w:val="ListBullet"/>
        <w:spacing w:after="40"/>
      </w:pPr>
      <w:r>
        <w:rPr>
          <w:b/>
          <w:sz w:val="20"/>
        </w:rPr>
        <w:t xml:space="preserve">Platforms like SpotHero (28 % YoY revenue growth 2023) show price-sensitive consumers respond to dynamic discounting. AutoPark's two-sided elasticity model is the first to formally model parking price incidence using a Demand Index.: </w:t>
      </w:r>
      <w:r>
        <w:rPr>
          <w:sz w:val="20"/>
        </w:rPr>
        <w:t>ML-Driven Demand Pricing</w:t>
      </w:r>
    </w:p>
    <w:p>
      <w:pPr>
        <w:pStyle w:val="ListBullet"/>
        <w:spacing w:after="40"/>
      </w:pPr>
      <w:r>
        <w:rPr>
          <w:b/>
          <w:sz w:val="20"/>
        </w:rPr>
        <w:t xml:space="preserve">New SAE J3161/1 draft standards require dead-reckoning continuity in GNSS-denied environments for automated driving functions — aligning directly with AutoPark's u-blox ZED-F9R mandatory hardware specification.: </w:t>
      </w:r>
      <w:r>
        <w:rPr>
          <w:sz w:val="20"/>
        </w:rPr>
        <w:t>Dead Reckoning Mandate</w:t>
      </w:r>
    </w:p>
    <w:p>
      <w:pPr>
        <w:spacing w:before="200" w:after="40"/>
        <w:pBdr>
          <w:bottom w:val="single" w:sz="4" w:space="1" w:color="008788"/>
        </w:pBdr>
      </w:pPr>
      <w:r>
        <w:rPr>
          <w:b/>
          <w:color w:val="008788"/>
          <w:sz w:val="24"/>
        </w:rPr>
        <w:t>1.5  Government Regulations</w:t>
      </w:r>
    </w:p>
    <w:p>
      <w:pPr>
        <w:pStyle w:val="ListBullet"/>
        <w:spacing w:after="40"/>
      </w:pPr>
      <w:r>
        <w:rPr>
          <w:b/>
          <w:sz w:val="20"/>
        </w:rPr>
        <w:t xml:space="preserve">Permits SAE L3+ automated vehicles without a human at the wheel within designated operational design domains. AutoPark designates affiliated garages as ODDs.: </w:t>
      </w:r>
      <w:r>
        <w:rPr>
          <w:sz w:val="20"/>
        </w:rPr>
        <w:t>Ontario AV Pilot Regulation 306/15 (amended 2019)</w:t>
      </w:r>
    </w:p>
    <w:p>
      <w:pPr>
        <w:pStyle w:val="ListBullet"/>
        <w:spacing w:after="40"/>
      </w:pPr>
      <w:r>
        <w:rPr>
          <w:b/>
          <w:sz w:val="20"/>
        </w:rPr>
        <w:t xml:space="preserve">Mandates DSRC-to-C-V2X transition. All AutoPark RSU and OBU hardware uses licensed C-V2X PC5 channels. Pilot OBUs use Cohda MK6C pre-certified modules to avoid FCC NRE ($12–15 k per custom chipset design).: </w:t>
      </w:r>
      <w:r>
        <w:rPr>
          <w:sz w:val="20"/>
        </w:rPr>
        <w:t>FCC/ISED 5.9 GHz C-V2X Allocation (2023)</w:t>
      </w:r>
    </w:p>
    <w:p>
      <w:pPr>
        <w:pStyle w:val="ListBullet"/>
        <w:spacing w:after="40"/>
      </w:pPr>
      <w:r>
        <w:rPr>
          <w:b/>
          <w:sz w:val="20"/>
        </w:rPr>
        <w:t xml:space="preserve">All payment card data tokenised via Stripe Radar. AutoPark stores zero raw PANs. Driver license plate images retained ≤ 30 days per Ontario MFIPPA.: </w:t>
      </w:r>
      <w:r>
        <w:rPr>
          <w:sz w:val="20"/>
        </w:rPr>
        <w:t>PCI-DSS &amp; PIPEDA</w:t>
      </w:r>
    </w:p>
    <w:p>
      <w:pPr>
        <w:pStyle w:val="ListBullet"/>
        <w:spacing w:after="40"/>
      </w:pPr>
      <w:r>
        <w:rPr>
          <w:b/>
          <w:sz w:val="20"/>
        </w:rPr>
        <w:t xml:space="preserve">All app interfaces comply with WCAG 2.1 AA. Accessible parking stalls remain human-reserved; AutoPark excludes them from inventory.: </w:t>
      </w:r>
      <w:r>
        <w:rPr>
          <w:sz w:val="20"/>
        </w:rPr>
        <w:t>AODA (Accessibility for Ontarians with Disabilities)</w:t>
      </w:r>
    </w:p>
    <w:p>
      <w:pPr>
        <w:pStyle w:val="ListBullet"/>
        <w:spacing w:after="40"/>
      </w:pPr>
      <w:r>
        <w:rPr>
          <w:b/>
          <w:sz w:val="20"/>
        </w:rPr>
        <w:t xml:space="preserve">AutoPark is not a Mobility-as-a-Service (MaaS) operator, avoiding taxi/rideshare licensing. Revenue classification is a 'parking transaction facilitator' — analogous to ParkingPanda (acquired by LAZ Parking, 2019).: </w:t>
      </w:r>
      <w:r>
        <w:rPr>
          <w:sz w:val="20"/>
        </w:rPr>
        <w:t>Municipal Parking Bylaws</w:t>
      </w:r>
    </w:p>
    <w:p>
      <w:r>
        <w:br w:type="page"/>
      </w:r>
    </w:p>
    <w:p>
      <w:pPr>
        <w:spacing w:before="360" w:after="80"/>
        <w:shd w:val="clear" w:color="auto" w:fill="143256"/>
        <w:ind w:left="120"/>
      </w:pPr>
      <w:r>
        <w:rPr>
          <w:b/>
          <w:color w:val="FFFFFF"/>
          <w:sz w:val="28"/>
        </w:rPr>
        <w:t>2.  THE MARKET</w:t>
      </w:r>
    </w:p>
    <w:p>
      <w:pPr>
        <w:spacing w:before="200" w:after="40"/>
        <w:pBdr>
          <w:bottom w:val="single" w:sz="4" w:space="1" w:color="008788"/>
        </w:pBdr>
      </w:pPr>
      <w:r>
        <w:rPr>
          <w:b/>
          <w:color w:val="008788"/>
          <w:sz w:val="24"/>
        </w:rPr>
        <w:t>2.1  Market Segment</w:t>
      </w:r>
    </w:p>
    <w:p>
      <w:pPr>
        <w:spacing w:after="80"/>
      </w:pPr>
      <w:r>
        <w:rPr>
          <w:sz w:val="20"/>
        </w:rPr>
        <w:t>AutoPark targets two primary customer segments that form its two-sided marketplace:</w:t>
      </w:r>
    </w:p>
    <w:p>
      <w:pPr>
        <w:spacing w:before="120" w:after="40"/>
      </w:pPr>
      <w:r>
        <w:rPr>
          <w:b/>
          <w:color w:val="14325C"/>
          <w:sz w:val="22"/>
        </w:rPr>
        <w:t>Side 1 — Parking Lot Operators (B2B)</w:t>
      </w:r>
    </w:p>
    <w:p>
      <w:pPr>
        <w:spacing w:after="80"/>
      </w:pPr>
      <w:r>
        <w:rPr>
          <w:sz w:val="20"/>
        </w:rPr>
        <w:t>Garages and surface lots in dense urban cores (Toronto, Vancouver, Calgary) seeking technology-differentiated revenue. Target profile: 200–2,000 space facilities with barrier-gate entry, existing RFID or LPR payment infrastructure, and utilisation rates below 80 % during off-peak hours.</w:t>
      </w:r>
    </w:p>
    <w:p>
      <w:pPr>
        <w:spacing w:after="80"/>
      </w:pPr>
      <w:r>
        <w:rPr>
          <w:sz w:val="20"/>
        </w:rPr>
        <w:t>Target launch: GreenP-operated downtown Toronto garages (~16,000 spaces), university campus garages (U of T, Ryerson, York), and stadium/event complex facilities (Rogers Centre, Scotiabank Arena).</w:t>
      </w:r>
    </w:p>
    <w:p>
      <w:pPr>
        <w:spacing w:before="120" w:after="40"/>
      </w:pPr>
      <w:r>
        <w:rPr>
          <w:b/>
          <w:color w:val="14325C"/>
          <w:sz w:val="22"/>
        </w:rPr>
        <w:t>Side 2 — AV Owners (B2C)</w:t>
      </w:r>
    </w:p>
    <w:p>
      <w:pPr>
        <w:spacing w:after="80"/>
      </w:pPr>
      <w:r>
        <w:rPr>
          <w:sz w:val="20"/>
        </w:rPr>
        <w:t>Early adopters of SAE L3–4 personal vehicles who commute to downtown Toronto. Demographic: 25–45-year-old professionals, household income $120 k+, own a 2025+ model year EV or PHEV with OTA-capable ADAS (Tesla Model 3/Y/S, BMW iX, GM Cadillac LYRIQ). Estimated addressable pool in Greater Toronto Area (GTA): 85,000 eligible vehicles by 2027.</w:t>
      </w:r>
    </w:p>
    <w:p>
      <w:pPr>
        <w:spacing w:before="200" w:after="40"/>
        <w:pBdr>
          <w:bottom w:val="single" w:sz="4" w:space="1" w:color="008788"/>
        </w:pBdr>
      </w:pPr>
      <w:r>
        <w:rPr>
          <w:b/>
          <w:color w:val="008788"/>
          <w:sz w:val="24"/>
        </w:rPr>
        <w:t>2.2  Products &amp; Services</w:t>
      </w:r>
    </w:p>
    <w:p>
      <w:pPr>
        <w:spacing w:after="80"/>
      </w:pPr>
      <w:r>
        <w:rPr>
          <w:sz w:val="20"/>
        </w:rPr>
        <w:t>AutoPark delivers a layered product suite: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Product / Service</w:t>
            </w:r>
          </w:p>
        </w:tc>
        <w:tc>
          <w:tcPr>
            <w:tcW w:type="dxa" w:w="17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Customer</w:t>
            </w:r>
          </w:p>
        </w:tc>
        <w:tc>
          <w:tcPr>
            <w:tcW w:type="dxa" w:w="432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Description</w:t>
            </w:r>
          </w:p>
        </w:tc>
        <w:tc>
          <w:tcPr>
            <w:tcW w:type="dxa" w:w="259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Revenue Model</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OBU Integration Kit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OEM / Tier-1</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Hardware module + software SDK for in-vehicle integration: C-V2X modem, ZED-F9R RTK GNSS, CAN FD bridge, HSM</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One-time licence fee per vehicle model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AutoPark Network SaaS</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OEM (per vehicle)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Annual subscription: live parking map, lot availability API, RSU firmware updates, compliance monitoring</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SaaS per-vehicle per year</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Driver App (AutoPark Go)</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AV Owners</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iOS/Android: drop-off navigation, real-time lot pricing, summon, payment management</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Free (monetised via transaction commission)</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RSU Gateway Kit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Lot Operators</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Hardware + cloud onboarding: C-V2X gate controller, RFID reader, payment API bridge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Hardware sold at cost; revenue from transaction split</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Lot Management Dashboard</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Lot Operators</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Web portal: real-time occupancy, revenue analytics, dynamic price recommendations</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Included with RSU; premium analytics tier planned</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Free Lot Convenience Fee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AV Owners</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Flat $0.49–$0.99 per session when AutoPark facilitates access to municipally-free or metered lots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Flat fee per transaction</w:t>
            </w:r>
          </w:p>
        </w:tc>
      </w:tr>
    </w:tbl>
    <w:p>
      <w:pPr>
        <w:spacing w:before="200" w:after="40"/>
        <w:pBdr>
          <w:bottom w:val="single" w:sz="4" w:space="1" w:color="008788"/>
        </w:pBdr>
      </w:pPr>
      <w:r>
        <w:rPr>
          <w:b/>
          <w:color w:val="008788"/>
          <w:sz w:val="24"/>
        </w:rPr>
        <w:t>2.3  Pricing and Distribution</w:t>
      </w:r>
    </w:p>
    <w:p>
      <w:pPr>
        <w:spacing w:after="80"/>
      </w:pPr>
      <w:r>
        <w:rPr>
          <w:sz w:val="20"/>
        </w:rPr>
        <w:t>AutoPark's pricing architecture uses a dynamic two-sided model driven by a real-time Demand Index D ∈ [0, 1], generated by a machine-learning model trained on historical occupancy, event calendars, weather, and transit data.</w:t>
      </w:r>
    </w:p>
    <w:p>
      <w:pPr>
        <w:spacing w:after="80"/>
      </w:pPr>
      <w:r>
        <w:rPr>
          <w:sz w:val="20"/>
        </w:rPr>
        <w:t>Lot Commission: L(D) = 30% − 15% × D     |     User Fee: U(D) = 5% + 15% × D     |     Total AutoPark Take: T = 35% (constant)</w:t>
      </w:r>
    </w:p>
    <w:p>
      <w:pPr>
        <w:spacing w:before="120" w:after="120"/>
        <w:ind w:left="200"/>
        <w:shd w:val="clear" w:color="auto" w:fill="E8F4F4"/>
      </w:pPr>
      <w:r>
        <w:rPr>
          <w:i/>
          <w:color w:val="006060"/>
          <w:sz w:val="20"/>
        </w:rPr>
        <w:t>At peak demand (D → 1): Lots pay only 15% commission (elastic — they can fill without AutoPark). Users pay a 20% service fee (inelastic — they need the spot). At low demand (D → 0): Lots pay 30% commission (inelastic — they need traffic). Users pay only 5% (elastic — alternatives exist). Total AutoPark gross is always 35% of the base parking price regardless of D — only the incidence shifts.</w:t>
      </w:r>
    </w:p>
    <w:p>
      <w:pPr>
        <w:spacing w:after="80"/>
      </w:pPr>
      <w:r>
        <w:rPr>
          <w:sz w:val="20"/>
        </w:rPr>
        <w:t>Distribution: AutoPark is distributed through three channels — (1) OEM integration contracts (direct enterprise sales), (2) lot operator sign-ups via the web portal and direct outreach to parking operators, and (3) consumer-facing AutoPark Go app in the Apple App Store and Google Play Store. To avoid App Store commission (15–30%), in-app payments are card-on-file processed via Stripe — a compliant workaround for parking/transit apps under Apple's reader app guidelines.</w:t>
      </w:r>
    </w:p>
    <w:p>
      <w:pPr>
        <w:spacing w:before="200" w:after="40"/>
        <w:pBdr>
          <w:bottom w:val="single" w:sz="4" w:space="1" w:color="008788"/>
        </w:pBdr>
      </w:pPr>
      <w:r>
        <w:rPr>
          <w:b/>
          <w:color w:val="008788"/>
          <w:sz w:val="24"/>
        </w:rPr>
        <w:t>2.4  Market Trends &amp; Size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45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Market</w:t>
            </w:r>
          </w:p>
        </w:tc>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2025 Size</w:t>
            </w:r>
          </w:p>
        </w:tc>
        <w:tc>
          <w:tcPr>
            <w:tcW w:type="dxa" w:w="187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2030 Projection</w:t>
            </w:r>
          </w:p>
        </w:tc>
        <w:tc>
          <w:tcPr>
            <w:tcW w:type="dxa" w:w="115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CAGR</w:t>
            </w:r>
          </w:p>
        </w:tc>
        <w:tc>
          <w:tcPr>
            <w:tcW w:type="dxa" w:w="288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Source</w:t>
            </w:r>
          </w:p>
        </w:tc>
      </w:tr>
      <w:tr>
        <w:tc>
          <w:tcPr>
            <w:tcW w:type="dxa" w:w="3456"/>
            <w:shd w:val="clear" w:color="auto" w:fill="F2F4F7"/>
            <w:tcBorders>
              <w:top w:val="single" w:sz="4" w:space="0" w:color="CCCCCC"/>
              <w:left w:val="single" w:sz="4" w:space="0" w:color="CCCCCC"/>
              <w:bottom w:val="single" w:sz="4" w:space="0" w:color="CCCCCC"/>
              <w:right w:val="single" w:sz="4" w:space="0" w:color="CCCCCC"/>
            </w:tcBorders>
          </w:tcPr>
          <w:p>
            <w:r>
              <w:rPr>
                <w:sz w:val="18"/>
              </w:rPr>
              <w:t>Global AV Parking Solutions</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$9.3–11.2B</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$23–33B</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~20%</w:t>
            </w:r>
          </w:p>
        </w:tc>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Grand View Research 2024</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sz w:val="18"/>
              </w:rPr>
              <w:t>Canadian Smart Parking</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$480M</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$890M</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13.2%</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MarketsandMarkets 2024</w:t>
            </w:r>
          </w:p>
        </w:tc>
      </w:tr>
      <w:tr>
        <w:tc>
          <w:tcPr>
            <w:tcW w:type="dxa" w:w="3456"/>
            <w:shd w:val="clear" w:color="auto" w:fill="F2F4F7"/>
            <w:tcBorders>
              <w:top w:val="single" w:sz="4" w:space="0" w:color="CCCCCC"/>
              <w:left w:val="single" w:sz="4" w:space="0" w:color="CCCCCC"/>
              <w:bottom w:val="single" w:sz="4" w:space="0" w:color="CCCCCC"/>
              <w:right w:val="single" w:sz="4" w:space="0" w:color="CCCCCC"/>
            </w:tcBorders>
          </w:tcPr>
          <w:p>
            <w:r>
              <w:rPr>
                <w:sz w:val="18"/>
              </w:rPr>
              <w:t>Toronto Parking Revenue (GreenP)</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$120M/yr</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w:t>
            </w:r>
          </w:p>
        </w:tc>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Toronto Parking Authority 2023</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sz w:val="18"/>
              </w:rPr>
              <w:t>V2X Hardware Market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$2.1B</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sz w:val="18"/>
              </w:rPr>
              <w:t>$11.4B</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8"/>
              </w:rPr>
              <w:t>40%</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IDC 2024</w:t>
            </w:r>
          </w:p>
        </w:tc>
      </w:tr>
      <w:tr>
        <w:tc>
          <w:tcPr>
            <w:tcW w:type="dxa" w:w="3456"/>
            <w:shd w:val="clear" w:color="auto" w:fill="F2F4F7"/>
            <w:tcBorders>
              <w:top w:val="single" w:sz="4" w:space="0" w:color="CCCCCC"/>
              <w:left w:val="single" w:sz="4" w:space="0" w:color="CCCCCC"/>
              <w:bottom w:val="single" w:sz="4" w:space="0" w:color="CCCCCC"/>
              <w:right w:val="single" w:sz="4" w:space="0" w:color="CCCCCC"/>
            </w:tcBorders>
          </w:tcPr>
          <w:p>
            <w:r>
              <w:rPr>
                <w:sz w:val="18"/>
              </w:rPr>
              <w:t>OEM Parking SaaS (global)</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$1.4B</w:t>
            </w:r>
          </w:p>
        </w:tc>
        <w:tc>
          <w:tcPr>
            <w:tcW w:type="dxa" w:w="1872"/>
            <w:shd w:val="clear" w:color="auto" w:fill="F2F4F7"/>
            <w:tcBorders>
              <w:top w:val="single" w:sz="4" w:space="0" w:color="CCCCCC"/>
              <w:left w:val="single" w:sz="4" w:space="0" w:color="CCCCCC"/>
              <w:bottom w:val="single" w:sz="4" w:space="0" w:color="CCCCCC"/>
              <w:right w:val="single" w:sz="4" w:space="0" w:color="CCCCCC"/>
            </w:tcBorders>
          </w:tcPr>
          <w:p>
            <w:r>
              <w:rPr>
                <w:sz w:val="18"/>
              </w:rPr>
              <w:t>$6.8B</w:t>
            </w:r>
          </w:p>
        </w:tc>
        <w:tc>
          <w:tcPr>
            <w:tcW w:type="dxa" w:w="1152"/>
            <w:shd w:val="clear" w:color="auto" w:fill="F2F4F7"/>
            <w:tcBorders>
              <w:top w:val="single" w:sz="4" w:space="0" w:color="CCCCCC"/>
              <w:left w:val="single" w:sz="4" w:space="0" w:color="CCCCCC"/>
              <w:bottom w:val="single" w:sz="4" w:space="0" w:color="CCCCCC"/>
              <w:right w:val="single" w:sz="4" w:space="0" w:color="CCCCCC"/>
            </w:tcBorders>
          </w:tcPr>
          <w:p>
            <w:r>
              <w:rPr>
                <w:sz w:val="18"/>
              </w:rPr>
              <w:t>37%</w:t>
            </w:r>
          </w:p>
        </w:tc>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Allied Market Research 2024</w:t>
            </w:r>
          </w:p>
        </w:tc>
      </w:tr>
    </w:tbl>
    <w:p>
      <w:pPr>
        <w:spacing w:before="200" w:after="40"/>
        <w:pBdr>
          <w:bottom w:val="single" w:sz="4" w:space="1" w:color="008788"/>
        </w:pBdr>
      </w:pPr>
      <w:r>
        <w:rPr>
          <w:b/>
          <w:color w:val="008788"/>
          <w:sz w:val="24"/>
        </w:rPr>
        <w:t>2.5  Implications and Risk Factors</w:t>
      </w:r>
    </w:p>
    <w:p>
      <w:pPr>
        <w:pStyle w:val="ListBullet"/>
        <w:spacing w:after="40"/>
      </w:pPr>
      <w:r>
        <w:rPr>
          <w:b/>
          <w:sz w:val="20"/>
        </w:rPr>
        <w:t xml:space="preserve">AutoPark requires SAE L4 vehicles in meaningful numbers. If Level 4 deployment lags 2028+ projections (e.g., regulatory delays), near-term addressable market shrinks. Mitigation: design OBU for retrofittable L3 vehicles with driver-confirmation summon mode.: </w:t>
      </w:r>
      <w:r>
        <w:rPr>
          <w:sz w:val="20"/>
        </w:rPr>
        <w:t>AV Adoption Dependency</w:t>
      </w:r>
    </w:p>
    <w:p>
      <w:pPr>
        <w:pStyle w:val="ListBullet"/>
        <w:spacing w:after="40"/>
      </w:pPr>
      <w:r>
        <w:rPr>
          <w:b/>
          <w:sz w:val="20"/>
        </w:rPr>
        <w:t xml:space="preserve">RSU installation requires lot operator buy-in and physical gate modification. Early adopters may expect free hardware; AutoPark sells RSU at near cost (~$500) and recoups via commissions. Mitigation: GreenP and campus garages are priority targets with existing smart infrastructure.: </w:t>
      </w:r>
      <w:r>
        <w:rPr>
          <w:sz w:val="20"/>
        </w:rPr>
        <w:t>Garage Infrastructure Readiness</w:t>
      </w:r>
    </w:p>
    <w:p>
      <w:pPr>
        <w:pStyle w:val="ListBullet"/>
        <w:spacing w:after="40"/>
      </w:pPr>
      <w:r>
        <w:rPr>
          <w:b/>
          <w:sz w:val="20"/>
        </w:rPr>
        <w:t xml:space="preserve">Canadian federal autonomy framework (Bill C-43 equivalent) is pending. If AV operation in private lots requires explicit ministerial approval, pilot timeline extends by 12–18 months. Mitigation: structure pilot under existing Ontario Reg. 306/15 as a 'restricted AV test' within approved ODD.: </w:t>
      </w:r>
      <w:r>
        <w:rPr>
          <w:sz w:val="20"/>
        </w:rPr>
        <w:t>Regulatory Ambiguity</w:t>
      </w:r>
    </w:p>
    <w:p>
      <w:pPr>
        <w:pStyle w:val="ListBullet"/>
        <w:spacing w:after="40"/>
      </w:pPr>
      <w:r>
        <w:rPr>
          <w:b/>
          <w:sz w:val="20"/>
        </w:rPr>
        <w:t xml:space="preserve">Tesla could close the underground gap with a future V2X OTA update if they adopt C-V2X. Mitigation: OEM-agnostic positioning and lock-in through lot operator RSU network effects are key moat.: </w:t>
      </w:r>
      <w:r>
        <w:rPr>
          <w:sz w:val="20"/>
        </w:rPr>
        <w:t>Competitive Response from Tesla</w:t>
      </w:r>
    </w:p>
    <w:p>
      <w:r>
        <w:br w:type="page"/>
      </w:r>
    </w:p>
    <w:p>
      <w:pPr>
        <w:spacing w:before="360" w:after="80"/>
        <w:shd w:val="clear" w:color="auto" w:fill="143256"/>
        <w:ind w:left="120"/>
      </w:pPr>
      <w:r>
        <w:rPr>
          <w:b/>
          <w:color w:val="FFFFFF"/>
          <w:sz w:val="28"/>
        </w:rPr>
        <w:t>3.  THE COMPETITION</w:t>
      </w:r>
    </w:p>
    <w:p>
      <w:pPr>
        <w:spacing w:before="200" w:after="40"/>
        <w:pBdr>
          <w:bottom w:val="single" w:sz="4" w:space="1" w:color="008788"/>
        </w:pBdr>
      </w:pPr>
      <w:r>
        <w:rPr>
          <w:b/>
          <w:color w:val="008788"/>
          <w:sz w:val="24"/>
        </w:rPr>
        <w:t>3.1  Competitors and Type of Competition</w:t>
      </w:r>
    </w:p>
    <w:p>
      <w:pPr>
        <w:spacing w:after="80"/>
      </w:pPr>
      <w:r>
        <w:rPr>
          <w:sz w:val="20"/>
        </w:rPr>
        <w:t>AutoPark faces competition across three tiers: (1) OEM-native self-parking features, (2) enterprise AVP infrastructure vendors, and (3) digital parking marketplaces.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44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Competitor</w:t>
            </w:r>
          </w:p>
        </w:tc>
        <w:tc>
          <w:tcPr>
            <w:tcW w:type="dxa" w:w="14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Type</w:t>
            </w:r>
          </w:p>
        </w:tc>
        <w:tc>
          <w:tcPr>
            <w:tcW w:type="dxa" w:w="244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Technology</w:t>
            </w:r>
          </w:p>
        </w:tc>
        <w:tc>
          <w:tcPr>
            <w:tcW w:type="dxa" w:w="201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Markets Served</w:t>
            </w:r>
          </w:p>
        </w:tc>
        <w:tc>
          <w:tcPr>
            <w:tcW w:type="dxa" w:w="244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Pricing Model</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Tesla Enhanced Summon / FSD Parking</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OEM Direct</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Vision-based, GPS-dependent</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Tesla fleet only</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Bundled with FSD ($15/mo subscription)</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Bosch Automated Valet Parking (AVP)</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Enterprise Infra</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Garage sensor grid + proprietary vehicle SDK</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Luxury OEMs, airports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$200 k–500 k per garage</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Valeo IntelliPark / Drive4Me</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Tier-1 OEM</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Ultra-wideband + lidar RSU</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Renault, Stellantis factory lots</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OEM-only licensing, not retail</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Stanley Robotics (Stanley Park)</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Robotic Valet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Mobile robot retrieves cars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Paris CDG, Lyon airports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€8–12 per parking event</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ParkWhiz / SpotHero</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Digital Marketplace</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None (human-driven only)</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North America, online booking</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10–35% booking commission</w:t>
            </w:r>
          </w:p>
        </w:tc>
      </w:tr>
      <w:tr>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EasyPark / ParkNow (BMW Group)</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Digital + IoT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Parking sensor + app</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Europe, limited Canada</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SaaS per sensor + booking fee</w:t>
            </w:r>
          </w:p>
        </w:tc>
      </w:tr>
    </w:tbl>
    <w:p>
      <w:pPr>
        <w:spacing w:before="200" w:after="40"/>
        <w:pBdr>
          <w:bottom w:val="single" w:sz="4" w:space="1" w:color="008788"/>
        </w:pBdr>
      </w:pPr>
      <w:r>
        <w:rPr>
          <w:b/>
          <w:color w:val="008788"/>
          <w:sz w:val="24"/>
        </w:rPr>
        <w:t>3.2  Competitors' Strengths and Weaknesses</w:t>
      </w:r>
    </w:p>
    <w:p>
      <w:pPr>
        <w:spacing w:before="120" w:after="40"/>
      </w:pPr>
      <w:r>
        <w:rPr>
          <w:b/>
          <w:color w:val="14325C"/>
          <w:sz w:val="22"/>
        </w:rPr>
        <w:t>Tesla Enhanced Summon</w:t>
      </w:r>
    </w:p>
    <w:p>
      <w:pPr>
        <w:pStyle w:val="ListBullet"/>
        <w:spacing w:after="40"/>
      </w:pPr>
      <w:r>
        <w:rPr>
          <w:b/>
          <w:sz w:val="20"/>
        </w:rPr>
        <w:t xml:space="preserve">Already deployed in millions of vehicles; zero hardware cost to user; continuous OTA improvement: </w:t>
      </w:r>
      <w:r>
        <w:rPr>
          <w:sz w:val="20"/>
        </w:rPr>
        <w:t>Strengths</w:t>
      </w:r>
    </w:p>
    <w:p>
      <w:pPr>
        <w:pStyle w:val="ListBullet"/>
        <w:spacing w:after="40"/>
      </w:pPr>
      <w:r>
        <w:rPr>
          <w:b/>
          <w:sz w:val="20"/>
        </w:rPr>
        <w:t xml:space="preserve">GPS-dependent — fails in underground or multi-level garages; Tesla-only ecosystem; no commercial lot integration; no payment handling: </w:t>
      </w:r>
      <w:r>
        <w:rPr>
          <w:sz w:val="20"/>
        </w:rPr>
        <w:t>Weaknesses</w:t>
      </w:r>
    </w:p>
    <w:p>
      <w:pPr>
        <w:spacing w:before="120" w:after="40"/>
      </w:pPr>
      <w:r>
        <w:rPr>
          <w:b/>
          <w:color w:val="14325C"/>
          <w:sz w:val="22"/>
        </w:rPr>
        <w:t>Bosch AVP</w:t>
      </w:r>
    </w:p>
    <w:p>
      <w:pPr>
        <w:pStyle w:val="ListBullet"/>
        <w:spacing w:after="40"/>
      </w:pPr>
      <w:r>
        <w:rPr>
          <w:b/>
          <w:sz w:val="20"/>
        </w:rPr>
        <w:t xml:space="preserve">Production-proven at Stuttgart Airport and Mercedes EQ World launch; full SAE L4 certified: </w:t>
      </w:r>
      <w:r>
        <w:rPr>
          <w:sz w:val="20"/>
        </w:rPr>
        <w:t>Strengths</w:t>
      </w:r>
    </w:p>
    <w:p>
      <w:pPr>
        <w:pStyle w:val="ListBullet"/>
        <w:spacing w:after="40"/>
      </w:pPr>
      <w:r>
        <w:rPr>
          <w:b/>
          <w:sz w:val="20"/>
        </w:rPr>
        <w:t xml:space="preserve">$200 k–500 k per garage CapEx; requires garage-embedded sensor grid (not a retrofit); proprietary vehicle API — only Daimler/Mercedes compatible: </w:t>
      </w:r>
      <w:r>
        <w:rPr>
          <w:sz w:val="20"/>
        </w:rPr>
        <w:t>Weaknesses</w:t>
      </w:r>
    </w:p>
    <w:p>
      <w:pPr>
        <w:spacing w:before="120" w:after="40"/>
      </w:pPr>
      <w:r>
        <w:rPr>
          <w:b/>
          <w:color w:val="14325C"/>
          <w:sz w:val="22"/>
        </w:rPr>
        <w:t>Valeo IntelliPark</w:t>
      </w:r>
    </w:p>
    <w:p>
      <w:pPr>
        <w:pStyle w:val="ListBullet"/>
        <w:spacing w:after="40"/>
      </w:pPr>
      <w:r>
        <w:rPr>
          <w:b/>
          <w:sz w:val="20"/>
        </w:rPr>
        <w:t xml:space="preserve">Tier-1 supply chain integration; UWB provides centimetre accuracy: </w:t>
      </w:r>
      <w:r>
        <w:rPr>
          <w:sz w:val="20"/>
        </w:rPr>
        <w:t>Strengths</w:t>
      </w:r>
    </w:p>
    <w:p>
      <w:pPr>
        <w:pStyle w:val="ListBullet"/>
        <w:spacing w:after="40"/>
      </w:pPr>
      <w:r>
        <w:rPr>
          <w:b/>
          <w:sz w:val="20"/>
        </w:rPr>
        <w:t xml:space="preserve">No consumer marketplace; purely OEM B2B; UWB range limited to ~50 m vs C-V2X's 300 m gate-to-vehicle range: </w:t>
      </w:r>
      <w:r>
        <w:rPr>
          <w:sz w:val="20"/>
        </w:rPr>
        <w:t>Weaknesses</w:t>
      </w:r>
    </w:p>
    <w:p>
      <w:pPr>
        <w:spacing w:before="120" w:after="40"/>
      </w:pPr>
      <w:r>
        <w:rPr>
          <w:b/>
          <w:color w:val="14325C"/>
          <w:sz w:val="22"/>
        </w:rPr>
        <w:t>SpotHero / ParkWhiz</w:t>
      </w:r>
    </w:p>
    <w:p>
      <w:pPr>
        <w:pStyle w:val="ListBullet"/>
        <w:spacing w:after="40"/>
      </w:pPr>
      <w:r>
        <w:rPr>
          <w:b/>
          <w:sz w:val="20"/>
        </w:rPr>
        <w:t xml:space="preserve">Strong consumer brand in North America; 30 M+ app installs; existing lot operator relationships: </w:t>
      </w:r>
      <w:r>
        <w:rPr>
          <w:sz w:val="20"/>
        </w:rPr>
        <w:t>Strengths</w:t>
      </w:r>
    </w:p>
    <w:p>
      <w:pPr>
        <w:pStyle w:val="ListBullet"/>
        <w:spacing w:after="40"/>
      </w:pPr>
      <w:r>
        <w:rPr>
          <w:b/>
          <w:sz w:val="20"/>
        </w:rPr>
        <w:t xml:space="preserve">No autonomous execution capability; requires human driver; cannot differentiate on AV features: </w:t>
      </w:r>
      <w:r>
        <w:rPr>
          <w:sz w:val="20"/>
        </w:rPr>
        <w:t>Weaknesses</w:t>
      </w:r>
    </w:p>
    <w:p>
      <w:pPr>
        <w:spacing w:before="200" w:after="40"/>
        <w:pBdr>
          <w:bottom w:val="single" w:sz="4" w:space="1" w:color="008788"/>
        </w:pBdr>
      </w:pPr>
      <w:r>
        <w:rPr>
          <w:b/>
          <w:color w:val="008788"/>
          <w:sz w:val="24"/>
        </w:rPr>
        <w:t>3.3  Competitive Advantage</w:t>
      </w:r>
    </w:p>
    <w:p>
      <w:pPr>
        <w:spacing w:after="80"/>
      </w:pPr>
      <w:r>
        <w:rPr>
          <w:sz w:val="20"/>
        </w:rPr>
        <w:t>AutoPark's sustainable moat rests on four pillars:</w:t>
      </w:r>
    </w:p>
    <w:p>
      <w:pPr>
        <w:spacing w:before="120" w:after="120"/>
        <w:ind w:left="200"/>
        <w:shd w:val="clear" w:color="auto" w:fill="E8F4F4"/>
      </w:pPr>
      <w:r>
        <w:rPr>
          <w:i/>
          <w:color w:val="006060"/>
          <w:sz w:val="20"/>
        </w:rPr>
        <w:t>C-V2X + Dead Reckoning = The Only Solution That Works Underground</w:t>
        <w:br/>
        <w:t>Tesla's Enhanced Summon fails in 90%+ of multi-level urban garages because GPS signal dies below Grade 1. AutoPark's OBU with u-blox ZED-F9R IMU dead reckoning + RSU-anchor position re-zeroing is the only mass-market approach that maintains sub-metre positioning in fully GNSS-denied environments.</w:t>
      </w:r>
    </w:p>
    <w:p>
      <w:pPr>
        <w:pStyle w:val="ListBullet"/>
        <w:spacing w:after="40"/>
      </w:pPr>
      <w:r>
        <w:rPr>
          <w:b/>
          <w:sz w:val="20"/>
        </w:rPr>
        <w:t xml:space="preserve">Unlike Bosch or Valeo (OEM-locked), AutoPark licenses to any automaker. A BMW owner and a GM owner park in the same lot. This network effect means lot operators get broader compatibility — increasing their willingness to pay.: </w:t>
      </w:r>
      <w:r>
        <w:rPr>
          <w:sz w:val="20"/>
        </w:rPr>
        <w:t>OEM-Agnostic Marketplace</w:t>
      </w:r>
    </w:p>
    <w:p>
      <w:pPr>
        <w:pStyle w:val="ListBullet"/>
        <w:spacing w:after="40"/>
      </w:pPr>
      <w:r>
        <w:rPr>
          <w:b/>
          <w:sz w:val="20"/>
        </w:rPr>
        <w:t xml:space="preserve">Custom RSU build costs &lt;$500/gate versus Bosch's $200 k+/garage. AutoPark offers 1,000× cheaper infrastructure, enabling rapid lot operator adoption.: </w:t>
      </w:r>
      <w:r>
        <w:rPr>
          <w:sz w:val="20"/>
        </w:rPr>
        <w:t>Cost-Disruptive RSU Hardware</w:t>
      </w:r>
    </w:p>
    <w:p>
      <w:pPr>
        <w:pStyle w:val="ListBullet"/>
        <w:spacing w:after="40"/>
      </w:pPr>
      <w:r>
        <w:rPr>
          <w:b/>
          <w:sz w:val="20"/>
        </w:rPr>
        <w:t xml:space="preserve">The Demand Index model is a unique algorithmic differentiator. SpotHero uses static discounts; AutoPark rebalances supply and demand in real-time, maximising both occupancy for lots and value for drivers.: </w:t>
      </w:r>
      <w:r>
        <w:rPr>
          <w:sz w:val="20"/>
        </w:rPr>
        <w:t>Two-Sided Elasticity Pricing</w:t>
      </w:r>
    </w:p>
    <w:p>
      <w:pPr>
        <w:pStyle w:val="ListBullet"/>
        <w:spacing w:after="40"/>
      </w:pPr>
      <w:r>
        <w:rPr>
          <w:b/>
          <w:sz w:val="20"/>
        </w:rPr>
        <w:t xml:space="preserve">AutoPark is structured under Ontario Reg. 306/15 ODD framework — the same legal architecture used by Uber ATG in Toronto — giving a 12–18 month head start over competitors who would need to seek new regulatory approvals.: </w:t>
      </w:r>
      <w:r>
        <w:rPr>
          <w:sz w:val="20"/>
        </w:rPr>
        <w:t>Regulatory Pre-Positioning</w:t>
      </w:r>
    </w:p>
    <w:p>
      <w:r>
        <w:br w:type="page"/>
      </w:r>
    </w:p>
    <w:p>
      <w:pPr>
        <w:spacing w:before="360" w:after="80"/>
        <w:shd w:val="clear" w:color="auto" w:fill="143256"/>
        <w:ind w:left="120"/>
      </w:pPr>
      <w:r>
        <w:rPr>
          <w:b/>
          <w:color w:val="FFFFFF"/>
          <w:sz w:val="28"/>
        </w:rPr>
        <w:t>4.  SALES &amp; MARKETING PLAN</w:t>
      </w:r>
    </w:p>
    <w:p>
      <w:pPr>
        <w:spacing w:before="200" w:after="40"/>
        <w:pBdr>
          <w:bottom w:val="single" w:sz="4" w:space="1" w:color="008788"/>
        </w:pBdr>
      </w:pPr>
      <w:r>
        <w:rPr>
          <w:b/>
          <w:color w:val="008788"/>
          <w:sz w:val="24"/>
        </w:rPr>
        <w:t>4.1  Customers</w:t>
      </w:r>
    </w:p>
    <w:p>
      <w:pPr>
        <w:spacing w:before="120" w:after="40"/>
      </w:pPr>
      <w:r>
        <w:rPr>
          <w:b/>
          <w:color w:val="14325C"/>
          <w:sz w:val="22"/>
        </w:rPr>
        <w:t>Tier 1 — OEM Partners (5–7 target automakers)</w:t>
      </w:r>
    </w:p>
    <w:p>
      <w:pPr>
        <w:spacing w:after="80"/>
      </w:pPr>
      <w:r>
        <w:rPr>
          <w:sz w:val="20"/>
        </w:rPr>
        <w:t>Target: AutoMakers with 2025+ model-year ADAS platforms planning Canadian market expansion. Priority list: General Motors (Cadillac LYRIQ, Ultifi OS), BMW Group (iX, i7, OS 9), Stellantis (Jeep Wagoneer EV), and emerging Chinese OEMs entering Canada (BYD, NIO). Outreach via SAE MOBILUS partner directories, AutoDrive Challenge II OEM judges, and University of Toronto's Transportation Research Institute (TRI).</w:t>
      </w:r>
    </w:p>
    <w:p>
      <w:pPr>
        <w:spacing w:before="120" w:after="40"/>
      </w:pPr>
      <w:r>
        <w:rPr>
          <w:b/>
          <w:color w:val="14325C"/>
          <w:sz w:val="22"/>
        </w:rPr>
        <w:t>Tier 2 — Parking Lot Operators (20–50 pilot garages)</w:t>
      </w:r>
    </w:p>
    <w:p>
      <w:pPr>
        <w:spacing w:after="80"/>
      </w:pPr>
      <w:r>
        <w:rPr>
          <w:sz w:val="20"/>
        </w:rPr>
        <w:t>Target: GreenP (Toronto Parking Authority), Impark (Canada's largest private operator, 800+ lots), WPS Group, and university campus parking services (U of T, Ryerson, York, Waterloo). Outreach via Canadian Parking Association (CPA) conference, direct B2B sales to operations managers.</w:t>
      </w:r>
    </w:p>
    <w:p>
      <w:pPr>
        <w:spacing w:before="120" w:after="40"/>
      </w:pPr>
      <w:r>
        <w:rPr>
          <w:b/>
          <w:color w:val="14325C"/>
          <w:sz w:val="22"/>
        </w:rPr>
        <w:t>Tier 3 — AV Owners (Consumer App)</w:t>
      </w:r>
    </w:p>
    <w:p>
      <w:pPr>
        <w:spacing w:after="80"/>
      </w:pPr>
      <w:r>
        <w:rPr>
          <w:sz w:val="20"/>
        </w:rPr>
        <w:t>Acquired organically through OEM pre-install agreements (AutoPark Go as pre-installed app on partner vehicles) and word-of-mouth in EV owner communities (Tesla Owners Club of BC, Ontario EV Owners). No paid advertising in Year 1 — growth through OEM distribution.</w:t>
      </w:r>
    </w:p>
    <w:p>
      <w:pPr>
        <w:spacing w:before="200" w:after="40"/>
        <w:pBdr>
          <w:bottom w:val="single" w:sz="4" w:space="1" w:color="008788"/>
        </w:pBdr>
      </w:pPr>
      <w:r>
        <w:rPr>
          <w:b/>
          <w:color w:val="008788"/>
          <w:sz w:val="24"/>
        </w:rPr>
        <w:t>4.2  Suppliers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Supplier</w:t>
            </w:r>
          </w:p>
        </w:tc>
        <w:tc>
          <w:tcPr>
            <w:tcW w:type="dxa" w:w="2592"/>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Terms</w:t>
            </w:r>
          </w:p>
        </w:tc>
        <w:tc>
          <w:tcPr>
            <w:tcW w:type="dxa" w:w="53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Product / Service</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Cohda Wireless (AU)</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Volume license; per-module pricing</w:t>
            </w:r>
          </w:p>
        </w:tc>
        <w:tc>
          <w:tcPr>
            <w:tcW w:type="dxa" w:w="5328"/>
            <w:shd w:val="clear" w:color="auto" w:fill="F2F4F7"/>
            <w:tcBorders>
              <w:top w:val="single" w:sz="4" w:space="0" w:color="CCCCCC"/>
              <w:left w:val="single" w:sz="4" w:space="0" w:color="CCCCCC"/>
              <w:bottom w:val="single" w:sz="4" w:space="0" w:color="CCCCCC"/>
              <w:right w:val="single" w:sz="4" w:space="0" w:color="CCCCCC"/>
            </w:tcBorders>
          </w:tcPr>
          <w:p>
            <w:r>
              <w:rPr>
                <w:sz w:val="18"/>
              </w:rPr>
              <w:t>MK6C C-V2X pre-certified module — Pilot Phase OBU core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Qualcomm Technologies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OEM supply agreement</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sz w:val="18"/>
              </w:rPr>
              <w:t>Snapdragon 2150 C-V2X SoC — Mass Production OBU</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u-blox AG (Switzerland)</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Distribution via Mouser/Digi-Key</w:t>
            </w:r>
          </w:p>
        </w:tc>
        <w:tc>
          <w:tcPr>
            <w:tcW w:type="dxa" w:w="5328"/>
            <w:shd w:val="clear" w:color="auto" w:fill="F2F4F7"/>
            <w:tcBorders>
              <w:top w:val="single" w:sz="4" w:space="0" w:color="CCCCCC"/>
              <w:left w:val="single" w:sz="4" w:space="0" w:color="CCCCCC"/>
              <w:bottom w:val="single" w:sz="4" w:space="0" w:color="CCCCCC"/>
              <w:right w:val="single" w:sz="4" w:space="0" w:color="CCCCCC"/>
            </w:tcBorders>
          </w:tcPr>
          <w:p>
            <w:r>
              <w:rPr>
                <w:sz w:val="18"/>
              </w:rPr>
              <w:t>ZED-F9R RTK GNSS + IMU Dead Reckoning module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Microchip Technology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Direct; standard commercial terms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sz w:val="18"/>
              </w:rPr>
              <w:t>MCP2518FD CAN FD Controller</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Infineon Technologies</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OEM security supply</w:t>
            </w:r>
          </w:p>
        </w:tc>
        <w:tc>
          <w:tcPr>
            <w:tcW w:type="dxa" w:w="5328"/>
            <w:shd w:val="clear" w:color="auto" w:fill="F2F4F7"/>
            <w:tcBorders>
              <w:top w:val="single" w:sz="4" w:space="0" w:color="CCCCCC"/>
              <w:left w:val="single" w:sz="4" w:space="0" w:color="CCCCCC"/>
              <w:bottom w:val="single" w:sz="4" w:space="0" w:color="CCCCCC"/>
              <w:right w:val="single" w:sz="4" w:space="0" w:color="CCCCCC"/>
            </w:tcBorders>
          </w:tcPr>
          <w:p>
            <w:r>
              <w:rPr>
                <w:sz w:val="18"/>
              </w:rPr>
              <w:t>SLE97 HSM (Hardware Security Module)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Raspberry Pi Ltd / CM4</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Direct / resellers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sz w:val="18"/>
              </w:rPr>
              <w:t>RSU compute: CM4 Industrial Module</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Quectel Wireless</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Direct B2B</w:t>
            </w:r>
          </w:p>
        </w:tc>
        <w:tc>
          <w:tcPr>
            <w:tcW w:type="dxa" w:w="5328"/>
            <w:shd w:val="clear" w:color="auto" w:fill="F2F4F7"/>
            <w:tcBorders>
              <w:top w:val="single" w:sz="4" w:space="0" w:color="CCCCCC"/>
              <w:left w:val="single" w:sz="4" w:space="0" w:color="CCCCCC"/>
              <w:bottom w:val="single" w:sz="4" w:space="0" w:color="CCCCCC"/>
              <w:right w:val="single" w:sz="4" w:space="0" w:color="CCCCCC"/>
            </w:tcBorders>
          </w:tcPr>
          <w:p>
            <w:r>
              <w:rPr>
                <w:sz w:val="18"/>
              </w:rPr>
              <w:t>AG15 C-V2X modem for RSU</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Stripe Inc.</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Standard developer API terms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sz w:val="18"/>
              </w:rPr>
              <w:t>Payment processing — $0.30 + 2.9% per transaction</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Parkopedia Ltd</w:t>
            </w:r>
          </w:p>
        </w:tc>
        <w:tc>
          <w:tcPr>
            <w:tcW w:type="dxa" w:w="2592"/>
            <w:shd w:val="clear" w:color="auto" w:fill="F2F4F7"/>
            <w:tcBorders>
              <w:top w:val="single" w:sz="4" w:space="0" w:color="CCCCCC"/>
              <w:left w:val="single" w:sz="4" w:space="0" w:color="CCCCCC"/>
              <w:bottom w:val="single" w:sz="4" w:space="0" w:color="CCCCCC"/>
              <w:right w:val="single" w:sz="4" w:space="0" w:color="CCCCCC"/>
            </w:tcBorders>
          </w:tcPr>
          <w:p>
            <w:r>
              <w:rPr>
                <w:sz w:val="18"/>
              </w:rPr>
              <w:t>Automotive volume API licence</w:t>
            </w:r>
          </w:p>
        </w:tc>
        <w:tc>
          <w:tcPr>
            <w:tcW w:type="dxa" w:w="5328"/>
            <w:shd w:val="clear" w:color="auto" w:fill="F2F4F7"/>
            <w:tcBorders>
              <w:top w:val="single" w:sz="4" w:space="0" w:color="CCCCCC"/>
              <w:left w:val="single" w:sz="4" w:space="0" w:color="CCCCCC"/>
              <w:bottom w:val="single" w:sz="4" w:space="0" w:color="CCCCCC"/>
              <w:right w:val="single" w:sz="4" w:space="0" w:color="CCCCCC"/>
            </w:tcBorders>
          </w:tcPr>
          <w:p>
            <w:r>
              <w:rPr>
                <w:sz w:val="18"/>
              </w:rPr>
              <w:t>Parking map data — primary parking inventory API</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AWS / Azure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8"/>
              </w:rPr>
              <w:t>Cloud pay-as-you-go</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Pr>
                <w:sz w:val="18"/>
              </w:rPr>
              <w:t>AutoPark Cloud Platform — compute, IoT Hub, ML inference</w:t>
            </w:r>
          </w:p>
        </w:tc>
      </w:tr>
    </w:tbl>
    <w:p>
      <w:pPr>
        <w:spacing w:before="200" w:after="40"/>
        <w:pBdr>
          <w:bottom w:val="single" w:sz="4" w:space="1" w:color="008788"/>
        </w:pBdr>
      </w:pPr>
      <w:r>
        <w:rPr>
          <w:b/>
          <w:color w:val="008788"/>
          <w:sz w:val="24"/>
        </w:rPr>
        <w:t>4.3  Advertising &amp; Promotion</w:t>
      </w:r>
    </w:p>
    <w:p>
      <w:pPr>
        <w:pStyle w:val="ListBullet"/>
        <w:spacing w:after="40"/>
      </w:pPr>
      <w:r>
        <w:rPr>
          <w:b/>
          <w:sz w:val="20"/>
        </w:rPr>
        <w:t xml:space="preserve">Primary showcase event. 45-point MIE 1 pitch to OEM judges, academic evaluators, and Transport Canada observers. Goal: earn highest MI score + generate OEM partnership discussions.: </w:t>
      </w:r>
      <w:r>
        <w:rPr>
          <w:sz w:val="20"/>
        </w:rPr>
        <w:t>AutoDrive Challenge II Summer Competition (June 2026)</w:t>
      </w:r>
    </w:p>
    <w:p>
      <w:pPr>
        <w:pStyle w:val="ListBullet"/>
        <w:spacing w:after="40"/>
      </w:pPr>
      <w:r>
        <w:rPr>
          <w:b/>
          <w:sz w:val="20"/>
        </w:rPr>
        <w:t xml:space="preserve">Technical paper submission on AutoPark's C-V2X dead-reckoning architecture. Target 2 OEM business development meetings per event.: </w:t>
      </w:r>
      <w:r>
        <w:rPr>
          <w:sz w:val="20"/>
        </w:rPr>
        <w:t>SAE International / ITS Canada Conference (Fall 2026)</w:t>
      </w:r>
    </w:p>
    <w:p>
      <w:pPr>
        <w:pStyle w:val="ListBullet"/>
        <w:spacing w:after="40"/>
      </w:pPr>
      <w:r>
        <w:rPr>
          <w:b/>
          <w:sz w:val="20"/>
        </w:rPr>
        <w:t xml:space="preserve">Exhibit RSU demo unit. Show 10-minute live self-parking demo in a simulated bay. Target: 5 signed Letters of Intent from lot operators.: </w:t>
      </w:r>
      <w:r>
        <w:rPr>
          <w:sz w:val="20"/>
        </w:rPr>
        <w:t>Canadian Parking Association Annual Conference</w:t>
      </w:r>
    </w:p>
    <w:p>
      <w:pPr>
        <w:pStyle w:val="ListBullet"/>
        <w:spacing w:after="40"/>
      </w:pPr>
      <w:r>
        <w:rPr>
          <w:b/>
          <w:sz w:val="20"/>
        </w:rPr>
        <w:t xml:space="preserve">aUToronto YouTube channel: 60-second AutoPark demo video. Target 50 k views within 30 days of Summer Competition. EV Reddit communities (r/electricvehicles, 300 k+ members) organic posting.: </w:t>
      </w:r>
      <w:r>
        <w:rPr>
          <w:sz w:val="20"/>
        </w:rPr>
        <w:t>Press / Content Marketing</w:t>
      </w:r>
    </w:p>
    <w:p>
      <w:pPr>
        <w:pStyle w:val="ListBullet"/>
        <w:spacing w:after="40"/>
      </w:pPr>
      <w:r>
        <w:rPr>
          <w:b/>
          <w:sz w:val="20"/>
        </w:rPr>
        <w:t xml:space="preserve">U of T press release coordinated with AutoDrive Challenge announcement. Target: Globe and Mail, Toronto Star technology section coverage.: </w:t>
      </w:r>
      <w:r>
        <w:rPr>
          <w:sz w:val="20"/>
        </w:rPr>
        <w:t>University of Toronto Media Relations</w:t>
      </w:r>
    </w:p>
    <w:p>
      <w:pPr>
        <w:spacing w:before="200" w:after="40"/>
        <w:pBdr>
          <w:bottom w:val="single" w:sz="4" w:space="1" w:color="008788"/>
        </w:pBdr>
      </w:pPr>
      <w:r>
        <w:rPr>
          <w:b/>
          <w:color w:val="008788"/>
          <w:sz w:val="24"/>
        </w:rPr>
        <w:t>4.4  Pricing &amp; Distribution Summary</w:t>
      </w:r>
    </w:p>
    <w:p>
      <w:pPr>
        <w:spacing w:after="80"/>
      </w:pPr>
      <w:r>
        <w:rPr>
          <w:sz w:val="20"/>
        </w:rPr>
        <w:t>AutoPark uses a three-tier pricing structure:</w:t>
      </w:r>
    </w:p>
    <w:p>
      <w:pPr>
        <w:spacing w:after="80"/>
      </w:pPr>
      <w:r>
        <w:rPr>
          <w:sz w:val="20"/>
        </w:rPr>
        <w:t>(1) OEM Licence Fee: TBD based on vehicle model integration complexity and fleet size. Benchmarked against HERE Technologies' HD Live Map licence (~$8/vehicle/year at scale) and NVIDIA DRIVE licensing range ($200–$500 per vehicle for full autonomy software stacks).</w:t>
      </w:r>
    </w:p>
    <w:p>
      <w:pPr>
        <w:spacing w:after="80"/>
      </w:pPr>
      <w:r>
        <w:rPr>
          <w:sz w:val="20"/>
        </w:rPr>
        <w:t>(2) Annual SaaS Per Vehicle: TBD. Range under consideration: $25–$75/vehicle/year, covering map access, RSU firmware updates, ML demand model updates, and 24/7 NOC monitoring.</w:t>
      </w:r>
    </w:p>
    <w:p>
      <w:pPr>
        <w:spacing w:after="80"/>
      </w:pPr>
      <w:r>
        <w:rPr>
          <w:sz w:val="20"/>
        </w:rPr>
        <w:t>(3) Transaction Commission: 35% total (lot + user split per dynamic model). Benchmarked against SpotHero (10–35%), ParkWhiz (30%), and Uber Eats marketplace (15–30%). AutoPark's 35% blended take is competitive given the autonomous execution value-add.</w:t>
      </w:r>
    </w:p>
    <w:p>
      <w:pPr>
        <w:spacing w:before="200" w:after="40"/>
        <w:pBdr>
          <w:bottom w:val="single" w:sz="4" w:space="1" w:color="008788"/>
        </w:pBdr>
      </w:pPr>
      <w:r>
        <w:rPr>
          <w:b/>
          <w:color w:val="008788"/>
          <w:sz w:val="24"/>
        </w:rPr>
        <w:t>4.5  Customer Service Policy</w:t>
      </w:r>
    </w:p>
    <w:p>
      <w:pPr>
        <w:pStyle w:val="ListBullet"/>
        <w:spacing w:after="40"/>
      </w:pPr>
      <w:r>
        <w:rPr>
          <w:b/>
          <w:sz w:val="20"/>
        </w:rPr>
        <w:t xml:space="preserve">In-app chat support (business hours), automated FAQ bot (24/7). SLA: &lt; 2-hour response for parking session issues, &lt; 30-minute response for stranded-vehicle emergencies. Full refund policy for any session where AutoPark system fault prevents successful parking or retrieval.: </w:t>
      </w:r>
      <w:r>
        <w:rPr>
          <w:sz w:val="20"/>
        </w:rPr>
        <w:t>AV Owners</w:t>
      </w:r>
    </w:p>
    <w:p>
      <w:pPr>
        <w:pStyle w:val="ListBullet"/>
        <w:spacing w:after="40"/>
      </w:pPr>
      <w:r>
        <w:rPr>
          <w:b/>
          <w:sz w:val="20"/>
        </w:rPr>
        <w:t xml:space="preserve">Dedicated B2B account manager for first 50 lots. RSU hardware warranty: 2 years on-site replacement. Uptime SLA: 99.5% monthly RSU availability. Daily analytics digest email.: </w:t>
      </w:r>
      <w:r>
        <w:rPr>
          <w:sz w:val="20"/>
        </w:rPr>
        <w:t>Lot Operators</w:t>
      </w:r>
    </w:p>
    <w:p>
      <w:pPr>
        <w:pStyle w:val="ListBullet"/>
        <w:spacing w:after="40"/>
      </w:pPr>
      <w:r>
        <w:rPr>
          <w:b/>
          <w:sz w:val="20"/>
        </w:rPr>
        <w:t xml:space="preserve">Quarterly API health reports, dedicated SDK integration slack channel, 6-month advance notice for any breaking API change.: </w:t>
      </w:r>
      <w:r>
        <w:rPr>
          <w:sz w:val="20"/>
        </w:rPr>
        <w:t>OEM Partners</w:t>
      </w:r>
    </w:p>
    <w:p>
      <w:r>
        <w:br w:type="page"/>
      </w:r>
    </w:p>
    <w:p>
      <w:pPr>
        <w:spacing w:before="360" w:after="80"/>
        <w:shd w:val="clear" w:color="auto" w:fill="143256"/>
        <w:ind w:left="120"/>
      </w:pPr>
      <w:r>
        <w:rPr>
          <w:b/>
          <w:color w:val="FFFFFF"/>
          <w:sz w:val="28"/>
        </w:rPr>
        <w:t>5.  OPERATING PLAN</w:t>
      </w:r>
    </w:p>
    <w:p>
      <w:pPr>
        <w:spacing w:before="200" w:after="40"/>
        <w:pBdr>
          <w:bottom w:val="single" w:sz="4" w:space="1" w:color="008788"/>
        </w:pBdr>
      </w:pPr>
      <w:r>
        <w:rPr>
          <w:b/>
          <w:color w:val="008788"/>
          <w:sz w:val="24"/>
        </w:rPr>
        <w:t>5.1  Business Location &amp; Requirements</w:t>
      </w:r>
    </w:p>
    <w:p>
      <w:pPr>
        <w:spacing w:after="80"/>
      </w:pPr>
      <w:r>
        <w:rPr>
          <w:sz w:val="20"/>
        </w:rPr>
        <w:t>AutoPark operates as a software-first startup with distributed operations. Core technology development is headquartered at the University of Toronto's Centre for Automotive Research (CEAL), with cloud infrastructure hosted on AWS Canada (Montreal region) for data residency compliance.</w:t>
      </w:r>
    </w:p>
    <w:p>
      <w:pPr>
        <w:spacing w:after="80"/>
      </w:pPr>
      <w:r>
        <w:rPr>
          <w:sz w:val="20"/>
        </w:rPr>
        <w:t>Pilot hardware deployment: University of Toronto St. George Campus parking garages (Spadina, Bahen, and Varsity garages — collectively 1,800 spaces) as first-party controlled ODD. This provides a regulatory sandbox under existing Ontario Ministry of Transportation AV pilot protocols that aUToronto already operates under.</w:t>
      </w:r>
    </w:p>
    <w:p>
      <w:pPr>
        <w:spacing w:after="80"/>
      </w:pPr>
      <w:r>
        <w:rPr>
          <w:sz w:val="20"/>
        </w:rPr>
        <w:t>No proprietary physical retail or service locations required. RSU hardware installations are performed at lot operator sites by trained AutoPark Field Technicians (subcontracted through Compugen or Beanfield partner network).</w:t>
      </w:r>
    </w:p>
    <w:p>
      <w:pPr>
        <w:spacing w:before="200" w:after="40"/>
        <w:pBdr>
          <w:bottom w:val="single" w:sz="4" w:space="1" w:color="008788"/>
        </w:pBdr>
      </w:pPr>
      <w:r>
        <w:rPr>
          <w:b/>
          <w:color w:val="008788"/>
          <w:sz w:val="24"/>
        </w:rPr>
        <w:t>5.2  Equipment / Technology / R&amp;D</w:t>
      </w:r>
    </w:p>
    <w:p>
      <w:pPr>
        <w:spacing w:before="120" w:after="40"/>
      </w:pPr>
      <w:r>
        <w:rPr>
          <w:b/>
          <w:color w:val="14325C"/>
          <w:sz w:val="22"/>
        </w:rPr>
        <w:t>OBU — On-Board Unit (In-Vehicle Hardware)</w:t>
      </w:r>
    </w:p>
    <w:p>
      <w:pPr>
        <w:spacing w:after="80"/>
      </w:pPr>
      <w:r>
        <w:rPr>
          <w:sz w:val="20"/>
        </w:rPr>
        <w:t>Pilot Phase (Year 1, ~500 units): Cohda Wireless MK6C pre-certified C-V2X module + u-blox ZED-F9R RTK GNSS + Microchip MCP2518FD CAN FD controller + Infineon SLE97 HSM. Total BOM: ~$739/unit. Pre-certified module eliminates FCC NRE ($12–15 k) for the pilot.</w:t>
      </w:r>
    </w:p>
    <w:p>
      <w:pPr>
        <w:spacing w:after="80"/>
      </w:pPr>
      <w:r>
        <w:rPr>
          <w:sz w:val="20"/>
        </w:rPr>
        <w:t>Production Phase (Year 3+, 50 k units): Qualcomm Snapdragon 2150 monolithic SoC (C-V2X + GNSS integrated) + Infineon SLE97 + custom PCB. Estimated BOM: ~$212/unit. FCC/IC Canada certification NRE: ~$108–$244 k total.</w:t>
      </w:r>
    </w:p>
    <w:p>
      <w:pPr>
        <w:spacing w:before="120" w:after="40"/>
      </w:pPr>
      <w:r>
        <w:rPr>
          <w:b/>
          <w:color w:val="14325C"/>
          <w:sz w:val="22"/>
        </w:rPr>
        <w:t>RSU — Road-Side Unit (Garage Gate Hardware)</w:t>
      </w:r>
    </w:p>
    <w:p>
      <w:pPr>
        <w:spacing w:after="80"/>
      </w:pPr>
      <w:r>
        <w:rPr>
          <w:sz w:val="20"/>
        </w:rPr>
        <w:t>Pilot (~50 gates): Raspberry Pi CM4 Industrial + Quectel AG15 + SICK CLV630 LIDAR + CF-RU5106 RFID reader + Gewiss NEMA 4X enclosure. BOM: ~$526/gate. Installs onto existing barrier arm infrastructure.</w:t>
      </w:r>
    </w:p>
    <w:p>
      <w:pPr>
        <w:spacing w:after="80"/>
      </w:pPr>
      <w:r>
        <w:rPr>
          <w:sz w:val="20"/>
        </w:rPr>
        <w:t>Production (200+ gates): custom PCB with Quectel AG15, Bosch Rexroth actuator controller, optimised NEMA 4X. BOM: ~$300/gate.</w:t>
      </w:r>
    </w:p>
    <w:p>
      <w:pPr>
        <w:spacing w:before="120" w:after="40"/>
      </w:pPr>
      <w:r>
        <w:rPr>
          <w:b/>
          <w:color w:val="14325C"/>
          <w:sz w:val="22"/>
        </w:rPr>
        <w:t>AutoPark Cloud Platform</w:t>
      </w:r>
    </w:p>
    <w:p>
      <w:pPr>
        <w:spacing w:after="80"/>
      </w:pPr>
      <w:r>
        <w:rPr>
          <w:sz w:val="20"/>
        </w:rPr>
        <w:t>Microservices architecture on AWS (IoT Core for RSU telemetry, Lambda for transaction processing, SageMaker for ML Demand Index model, RDS Aurora for lot inventory). Infrastructure cost at 50-lot scale: ~$4,200/month. Google Maps API replaced by Parkopedia automotive API (~$1,200/month at scale vs. Google's $15,000+/month).</w:t>
      </w:r>
    </w:p>
    <w:p>
      <w:pPr>
        <w:spacing w:before="120" w:after="40"/>
      </w:pPr>
      <w:r>
        <w:rPr>
          <w:b/>
          <w:color w:val="14325C"/>
          <w:sz w:val="22"/>
        </w:rPr>
        <w:t>R&amp;D Roadmap</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Phase</w:t>
            </w:r>
          </w:p>
        </w:tc>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Timeline</w:t>
            </w:r>
          </w:p>
        </w:tc>
        <w:tc>
          <w:tcPr>
            <w:tcW w:type="dxa" w:w="50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Key R&amp;D Deliverable</w:t>
            </w:r>
          </w:p>
        </w:tc>
        <w:tc>
          <w:tcPr>
            <w:tcW w:type="dxa" w:w="201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Cost Estimate</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Phase 1 — Proof of Concept</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Q1–Q2 2026</w:t>
            </w:r>
          </w:p>
        </w:tc>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OBU integration on aUToronto autonomous vehicle; end-to-end C-V2X gate handshake in U of T Bahen Garage</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$15,000</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Phase 2 — Pilot Deployment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Q3–Q4 2026</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50 RSU units across 3 GreenP garages; 100 OBU pilot units on partner-developer vehicles; ML Demand Index v1</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$285,000</w:t>
            </w:r>
          </w:p>
        </w:tc>
      </w:tr>
      <w:tr>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Phase 3 — Commercial Launch</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2027</w:t>
            </w:r>
          </w:p>
        </w:tc>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OEM SDK integration with first partner automaker; Parkopedia API live; Stripe payment live; regulatory ODD filing</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$520,000</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Phase 4 — Scale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2028+</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Snapdragon 2150 OBU PCB NRE; 200+ RSU units; 5+ OEM partners; SageMaker demand model retrain pipeline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$1,200,000</w:t>
            </w:r>
          </w:p>
        </w:tc>
      </w:tr>
    </w:tbl>
    <w:p>
      <w:r>
        <w:br w:type="page"/>
      </w:r>
    </w:p>
    <w:p>
      <w:pPr>
        <w:spacing w:before="360" w:after="80"/>
        <w:shd w:val="clear" w:color="auto" w:fill="143256"/>
        <w:ind w:left="120"/>
      </w:pPr>
      <w:r>
        <w:rPr>
          <w:b/>
          <w:color w:val="FFFFFF"/>
          <w:sz w:val="28"/>
        </w:rPr>
        <w:t>6.  HUMAN RESOURCES PLAN</w:t>
      </w:r>
    </w:p>
    <w:p>
      <w:pPr>
        <w:spacing w:before="200" w:after="40"/>
        <w:pBdr>
          <w:bottom w:val="single" w:sz="4" w:space="1" w:color="008788"/>
        </w:pBdr>
      </w:pPr>
      <w:r>
        <w:rPr>
          <w:b/>
          <w:color w:val="008788"/>
          <w:sz w:val="24"/>
        </w:rPr>
        <w:t>6.1  Key Employees / Team Structure</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Name</w:t>
            </w:r>
          </w:p>
        </w:tc>
        <w:tc>
          <w:tcPr>
            <w:tcW w:type="dxa" w:w="201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Title / Role</w:t>
            </w:r>
          </w:p>
        </w:tc>
        <w:tc>
          <w:tcPr>
            <w:tcW w:type="dxa" w:w="446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Key Responsibilities</w:t>
            </w:r>
          </w:p>
        </w:tc>
        <w:tc>
          <w:tcPr>
            <w:tcW w:type="dxa" w:w="273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Qualifications</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Forest Li</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Business Lead</w:t>
            </w:r>
          </w:p>
        </w:tc>
        <w:tc>
          <w:tcPr>
            <w:tcW w:type="dxa" w:w="4464"/>
            <w:shd w:val="clear" w:color="auto" w:fill="F2F4F7"/>
            <w:tcBorders>
              <w:top w:val="single" w:sz="4" w:space="0" w:color="CCCCCC"/>
              <w:left w:val="single" w:sz="4" w:space="0" w:color="CCCCCC"/>
              <w:bottom w:val="single" w:sz="4" w:space="0" w:color="CCCCCC"/>
              <w:right w:val="single" w:sz="4" w:space="0" w:color="CCCCCC"/>
            </w:tcBorders>
          </w:tcPr>
          <w:p>
            <w:r>
              <w:rPr>
                <w:sz w:val="18"/>
              </w:rPr>
              <w:t>Business Plan, Financial Model, Dynamic Pricing Architecture, OEM Licensing Strategy, Investor Relations</w:t>
            </w:r>
          </w:p>
        </w:tc>
        <w:tc>
          <w:tcPr>
            <w:tcW w:type="dxa" w:w="2736"/>
            <w:shd w:val="clear" w:color="auto" w:fill="F2F4F7"/>
            <w:tcBorders>
              <w:top w:val="single" w:sz="4" w:space="0" w:color="CCCCCC"/>
              <w:left w:val="single" w:sz="4" w:space="0" w:color="CCCCCC"/>
              <w:bottom w:val="single" w:sz="4" w:space="0" w:color="CCCCCC"/>
              <w:right w:val="single" w:sz="4" w:space="0" w:color="CCCCCC"/>
            </w:tcBorders>
          </w:tcPr>
          <w:p>
            <w:r>
              <w:rPr>
                <w:sz w:val="18"/>
              </w:rPr>
              <w:t>BASc Engineering Science (Robotics), University of Toronto; AutoDrive Challenge II Year 5</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Prithvi [Last Name]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Technical Lead / Systems Architect</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sz w:val="18"/>
              </w:rPr>
              <w:t>OBU/RSU System Design, C-V2X Protocol Stack, CAN Integration, Technical Competition Documentation</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sz w:val="18"/>
              </w:rPr>
              <w:t>BASc Electrical &amp; Computer Engineering, UofT; V2X embedded systems specialisation</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Amanda [Last Name]</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Stakeholder &amp; Market Lead</w:t>
            </w:r>
          </w:p>
        </w:tc>
        <w:tc>
          <w:tcPr>
            <w:tcW w:type="dxa" w:w="4464"/>
            <w:shd w:val="clear" w:color="auto" w:fill="F2F4F7"/>
            <w:tcBorders>
              <w:top w:val="single" w:sz="4" w:space="0" w:color="CCCCCC"/>
              <w:left w:val="single" w:sz="4" w:space="0" w:color="CCCCCC"/>
              <w:bottom w:val="single" w:sz="4" w:space="0" w:color="CCCCCC"/>
              <w:right w:val="single" w:sz="4" w:space="0" w:color="CCCCCC"/>
            </w:tcBorders>
          </w:tcPr>
          <w:p>
            <w:r>
              <w:rPr>
                <w:sz w:val="18"/>
              </w:rPr>
              <w:t>Stakeholder Analysis, Market Research, Benchmarking, Government Liaison, Winter Workshop Presentation</w:t>
            </w:r>
          </w:p>
        </w:tc>
        <w:tc>
          <w:tcPr>
            <w:tcW w:type="dxa" w:w="2736"/>
            <w:shd w:val="clear" w:color="auto" w:fill="F2F4F7"/>
            <w:tcBorders>
              <w:top w:val="single" w:sz="4" w:space="0" w:color="CCCCCC"/>
              <w:left w:val="single" w:sz="4" w:space="0" w:color="CCCCCC"/>
              <w:bottom w:val="single" w:sz="4" w:space="0" w:color="CCCCCC"/>
              <w:right w:val="single" w:sz="4" w:space="0" w:color="CCCCCC"/>
            </w:tcBorders>
          </w:tcPr>
          <w:p>
            <w:r>
              <w:rPr>
                <w:sz w:val="18"/>
              </w:rPr>
              <w:t>BASc Engineering Science (Infrastructure), UofT; Urban mobility focus</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Nevan [Last Name]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Market Research Analyst</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sz w:val="18"/>
              </w:rPr>
              <w:t>Competitive Benchmarking, Market Sizing, Industry Analysis, Financial Projections Support</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sz w:val="18"/>
              </w:rPr>
              <w:t>BASc Engineering Science, UofT; co-lead Market &amp; Benchmarking with Amanda</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AiLing [Last Name]</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Systems Integration &amp; CX Lead</w:t>
            </w:r>
          </w:p>
        </w:tc>
        <w:tc>
          <w:tcPr>
            <w:tcW w:type="dxa" w:w="4464"/>
            <w:shd w:val="clear" w:color="auto" w:fill="F2F4F7"/>
            <w:tcBorders>
              <w:top w:val="single" w:sz="4" w:space="0" w:color="CCCCCC"/>
              <w:left w:val="single" w:sz="4" w:space="0" w:color="CCCCCC"/>
              <w:bottom w:val="single" w:sz="4" w:space="0" w:color="CCCCCC"/>
              <w:right w:val="single" w:sz="4" w:space="0" w:color="CCCCCC"/>
            </w:tcBorders>
          </w:tcPr>
          <w:p>
            <w:r>
              <w:rPr>
                <w:sz w:val="18"/>
              </w:rPr>
              <w:t>Customer Experience Design, Integration Architecture, User Flow Documentation, App UX Requirements</w:t>
            </w:r>
          </w:p>
        </w:tc>
        <w:tc>
          <w:tcPr>
            <w:tcW w:type="dxa" w:w="2736"/>
            <w:shd w:val="clear" w:color="auto" w:fill="F2F4F7"/>
            <w:tcBorders>
              <w:top w:val="single" w:sz="4" w:space="0" w:color="CCCCCC"/>
              <w:left w:val="single" w:sz="4" w:space="0" w:color="CCCCCC"/>
              <w:bottom w:val="single" w:sz="4" w:space="0" w:color="CCCCCC"/>
              <w:right w:val="single" w:sz="4" w:space="0" w:color="CCCCCC"/>
            </w:tcBorders>
          </w:tcPr>
          <w:p>
            <w:r>
              <w:rPr>
                <w:sz w:val="18"/>
              </w:rPr>
              <w:t>BASc Engineering Science, UofT; co-lead Systems Integration with Prithvi</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Faculty Advisor / Industry Mentor</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Advisory</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r>
              <w:rPr>
                <w:sz w:val="18"/>
              </w:rPr>
              <w:t>Academic rigour review, industry connection introductions, competition mentorship</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Pr>
                <w:sz w:val="18"/>
              </w:rPr>
              <w:t>AutoDrive Challenge II faculty sponsor</w:t>
            </w:r>
          </w:p>
        </w:tc>
      </w:tr>
    </w:tbl>
    <w:p>
      <w:pPr>
        <w:spacing w:before="200" w:after="40"/>
        <w:pBdr>
          <w:bottom w:val="single" w:sz="4" w:space="1" w:color="008788"/>
        </w:pBdr>
      </w:pPr>
      <w:r>
        <w:rPr>
          <w:b/>
          <w:color w:val="008788"/>
          <w:sz w:val="24"/>
        </w:rPr>
        <w:t>6.2  Policies &amp; Procedures</w:t>
      </w:r>
    </w:p>
    <w:p>
      <w:pPr>
        <w:pStyle w:val="ListBullet"/>
        <w:spacing w:after="40"/>
      </w:pPr>
      <w:r>
        <w:rPr>
          <w:b/>
          <w:sz w:val="20"/>
        </w:rPr>
        <w:t xml:space="preserve">All work product created under the AutoDrive Challenge II program is subject to the University of Toronto student IP policy (Policy on Inventions and Discoveries). Team members assign rights to any commercialisable IP to a jointly-held LLC (AutoPark Inc., to be incorporated) with equal equity split pending post-competition commercialisation decision.: </w:t>
      </w:r>
      <w:r>
        <w:rPr>
          <w:sz w:val="20"/>
        </w:rPr>
        <w:t>Intellectual Property</w:t>
      </w:r>
    </w:p>
    <w:p>
      <w:pPr>
        <w:pStyle w:val="ListBullet"/>
        <w:spacing w:after="40"/>
      </w:pPr>
      <w:r>
        <w:rPr>
          <w:b/>
          <w:sz w:val="20"/>
        </w:rPr>
        <w:t xml:space="preserve">Weekly all-hands (60 min, Mondays 6 PM EST), bi-weekly technical sync (Prithvi + AiLing), bi-weekly business sync (Forest + Amanda + Nevan). Competition prep enters daily standups in the 4 weeks prior to Summer Competition.: </w:t>
      </w:r>
      <w:r>
        <w:rPr>
          <w:sz w:val="20"/>
        </w:rPr>
        <w:t>Meeting Cadence</w:t>
      </w:r>
    </w:p>
    <w:p>
      <w:pPr>
        <w:pStyle w:val="ListBullet"/>
        <w:spacing w:after="40"/>
      </w:pPr>
      <w:r>
        <w:rPr>
          <w:b/>
          <w:sz w:val="20"/>
        </w:rPr>
        <w:t xml:space="preserve">All technical specs in version-controlled GitHub repository (aUToronto/AutoPark). Business documents maintained in shared Google Drive with edit permissions for all team members. Hardware cost models maintained in the AutoPark_Hardware_Cost_Breakdown_v2.docx master doc.: </w:t>
      </w:r>
      <w:r>
        <w:rPr>
          <w:sz w:val="20"/>
        </w:rPr>
        <w:t>Documentation Standards</w:t>
      </w:r>
    </w:p>
    <w:p>
      <w:pPr>
        <w:pStyle w:val="ListBullet"/>
        <w:spacing w:after="40"/>
      </w:pPr>
      <w:r>
        <w:rPr>
          <w:b/>
          <w:sz w:val="20"/>
        </w:rPr>
        <w:t xml:space="preserve">Majority-vote decision-making for minor decisions; consensus required for pivots affecting business model or technical architecture. Faculty advisor serves as tiebreaker.: </w:t>
      </w:r>
      <w:r>
        <w:rPr>
          <w:sz w:val="20"/>
        </w:rPr>
        <w:t>Conflict Resolution</w:t>
      </w:r>
    </w:p>
    <w:p>
      <w:pPr>
        <w:pStyle w:val="ListBullet"/>
        <w:spacing w:after="40"/>
      </w:pPr>
      <w:r>
        <w:rPr>
          <w:b/>
          <w:sz w:val="20"/>
        </w:rPr>
        <w:t xml:space="preserve">Team composition reflects aUToronto's commitment to equity; all team communications in English with accommodations for non-native speakers.: </w:t>
      </w:r>
      <w:r>
        <w:rPr>
          <w:sz w:val="20"/>
        </w:rPr>
        <w:t>Diversity &amp; Inclusion</w:t>
      </w:r>
    </w:p>
    <w:p>
      <w:r>
        <w:br w:type="page"/>
      </w:r>
    </w:p>
    <w:p>
      <w:pPr>
        <w:spacing w:before="360" w:after="80"/>
        <w:shd w:val="clear" w:color="auto" w:fill="143256"/>
        <w:ind w:left="120"/>
      </w:pPr>
      <w:r>
        <w:rPr>
          <w:b/>
          <w:color w:val="FFFFFF"/>
          <w:sz w:val="28"/>
        </w:rPr>
        <w:t>7.  ACTION PLAN &amp; TIMETABLE</w:t>
      </w:r>
    </w:p>
    <w:tbl>
      <w:tblPr>
        <w:tblStyle w:val="TableGrid"/>
        <w:tblW w:type="auto" w:w="0"/>
        <w:tblLook w:firstColumn="1" w:firstRow="1" w:lastColumn="0" w:lastRow="0" w:noHBand="0" w:noVBand="1" w:val="04A0"/>
      </w:tblPr>
      <w:tblGrid>
        <w:gridCol w:w="2340"/>
        <w:gridCol w:w="2340"/>
        <w:gridCol w:w="2340"/>
        <w:gridCol w:w="2340"/>
      </w:tblGrid>
      <w:tr>
        <w:tc>
          <w:tcPr>
            <w:tcW w:type="dxa" w:w="50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Action Item</w:t>
            </w:r>
          </w:p>
        </w:tc>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Owner</w:t>
            </w:r>
          </w:p>
        </w:tc>
        <w:tc>
          <w:tcPr>
            <w:tcW w:type="dxa" w:w="17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Deadline</w:t>
            </w:r>
          </w:p>
        </w:tc>
        <w:tc>
          <w:tcPr>
            <w:tcW w:type="dxa" w:w="172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Status</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Complete Hardware Spec v2 with Gemini-verified figures</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Complete</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Formalise Dynamic Pricing Model document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Complete</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Complete Business Plan document (all sections)</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Forest + Team</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In Progress</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Assign section leads and draft stakeholders &amp; impacts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Amanda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Conduct competitive benchmarking analysis</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Nevan + Amanda</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Draft technical system design section (Prithvi)</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Prithvi</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Build first AutoPark Go app wireframes (AiLing)</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AiLing + Prithvi</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RSU proof-of-concept hardware assembly (U of T garage)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Prithvi + AiLing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OBU integration on aUToronto AV (proof of concept)</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Prithvi</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Draft Financial Plan (5-year projections)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Apr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Produce Summer Competition slide deck (15 slides)</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All</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May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Rehearse pitch — 15 min delivery + 10 min Q&amp;A</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All</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May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Produce 60-sec AutoPark demo video</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Prithvi + AiLing</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May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Submit business plan final draft to faculty for review</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May 15,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Pending</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AutoDrive Challenge II Summer Competition — MIE 1 Pitch</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All</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June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Target</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Post-competition: file ODD application with MTO (if advancing)</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Forest + Amanda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Sept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Future</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Post-competition: approach GreenP for pilot LOI</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Forest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Sept 2026</w:t>
            </w:r>
          </w:p>
        </w:tc>
        <w:tc>
          <w:tcPr>
            <w:tcW w:type="dxa" w:w="1728"/>
            <w:shd w:val="clear" w:color="auto" w:fill="F2F4F7"/>
            <w:tcBorders>
              <w:top w:val="single" w:sz="4" w:space="0" w:color="CCCCCC"/>
              <w:left w:val="single" w:sz="4" w:space="0" w:color="CCCCCC"/>
              <w:bottom w:val="single" w:sz="4" w:space="0" w:color="CCCCCC"/>
              <w:right w:val="single" w:sz="4" w:space="0" w:color="CCCCCC"/>
            </w:tcBorders>
          </w:tcPr>
          <w:p>
            <w:r>
              <w:rPr>
                <w:sz w:val="18"/>
              </w:rPr>
              <w:t>🔮 Future</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Seek NSERC Engage / OCE VIP-I funding for Phase 2 R&amp;D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Forest + Faculty</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Oct 2026</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sz w:val="18"/>
              </w:rPr>
              <w:t>🔮 Future</w:t>
            </w:r>
          </w:p>
        </w:tc>
      </w:tr>
    </w:tbl>
    <w:p>
      <w:r>
        <w:br w:type="page"/>
      </w:r>
    </w:p>
    <w:p>
      <w:pPr>
        <w:spacing w:before="360" w:after="80"/>
        <w:shd w:val="clear" w:color="auto" w:fill="143256"/>
        <w:ind w:left="120"/>
      </w:pPr>
      <w:r>
        <w:rPr>
          <w:b/>
          <w:color w:val="FFFFFF"/>
          <w:sz w:val="28"/>
        </w:rPr>
        <w:t>8.  EXECUTIVE SUMMARY</w:t>
      </w:r>
    </w:p>
    <w:p>
      <w:pPr>
        <w:spacing w:before="120" w:after="120"/>
        <w:ind w:left="200"/>
        <w:shd w:val="clear" w:color="auto" w:fill="E8F4F4"/>
      </w:pPr>
      <w:r>
        <w:rPr>
          <w:i/>
          <w:color w:val="006060"/>
          <w:sz w:val="20"/>
        </w:rPr>
        <w:t>AutoPark is the only self-parking platform that works underground.</w:t>
      </w:r>
    </w:p>
    <w:p>
      <w:pPr>
        <w:spacing w:after="80"/>
      </w:pPr>
      <w:r>
        <w:rPr>
          <w:sz w:val="20"/>
        </w:rPr>
        <w:t>AutoPark is a two-sided autonomous parking marketplace developed by aUToronto (University of Toronto's AutoDrive Challenge team) for the AutoDrive Challenge II Year 5 Mobility Innovation competition. The platform enables personal SAE L3–L4 automated vehicles to self-park without driver involvement using a hardware+software stack consisting of an in-vehicle OBU (On-Board Unit) and a garage-mounted RSU (Road-Side Unit) communicating via C-V2X PC5 sidelink.</w:t>
      </w:r>
    </w:p>
    <w:p>
      <w:pPr>
        <w:spacing w:after="80"/>
      </w:pPr>
      <w:r>
        <w:rPr>
          <w:sz w:val="20"/>
        </w:rPr>
        <w:t>The business addresses a $9.3 B (2025) → $33 B (2033) global autonomous parking market by solving the critical technical gap that has blocked all existing competitors: GPS-denied underground garage operation. AutoPark's mandatory use of the u-blox ZED-F9R with IMU dead reckoning — combined with an RSU-anchor re-zeroing strategy — delivers sub-metre AV positioning in multi-level garages where Tesla Enhanced Summon fails and Bosch AVP costs $200 k+ to install.</w:t>
      </w:r>
    </w:p>
    <w:p>
      <w:pPr>
        <w:spacing w:after="80"/>
      </w:pPr>
      <w:r>
        <w:rPr>
          <w:sz w:val="20"/>
        </w:rPr>
        <w:t>The revenue model is built on four streams: OEM licensing, per-vehicle SaaS subscriptions, a 35 % transaction commission (dynamically split between lot operators and drivers using a proprietary Demand Index algorithm), and a flat convenience fee on free lots. The dynamic pricing model is a unique market innovation — mathematically ensuring total AutoPark revenue is always 35 % of the base parking price while algorithmically optimising incidence between sides based on real-time price elasticity.</w:t>
      </w:r>
    </w:p>
    <w:p>
      <w:pPr>
        <w:spacing w:after="80"/>
      </w:pPr>
      <w:r>
        <w:rPr>
          <w:sz w:val="20"/>
        </w:rPr>
        <w:t>AutoPark's RSU costs less than $500/gate — 400× cheaper than Bosch AVP at $200 k/garage — enabling rapid lot operator adoption. The pilot deployment plan targets 50 RSUs across 3 GreenP garages and 100 OBU pilot units in Q3–Q4 2026, with a commercial launch target of 2027 following OEM SDK integration with a first automaker partner.</w:t>
      </w:r>
    </w:p>
    <w:p>
      <w:pPr>
        <w:spacing w:after="80"/>
      </w:pPr>
      <w:r>
        <w:rPr>
          <w:sz w:val="20"/>
        </w:rPr>
        <w:t>The AutoPark team brings together five University of Toronto engineering students covering business development, embedded systems, stakeholder strategy, market analysis, and systems integration. The Summer Competition pitch in June 2026 targets all 45 available MIE 1 points and a path to real-world commercialisation with GreenP and an OEM anchor customer.</w:t>
      </w:r>
    </w:p>
    <w:p>
      <w:pPr>
        <w:spacing w:after="80"/>
      </w:pPr>
      <w:r>
        <w:rPr>
          <w:sz w:val="20"/>
        </w:rPr>
        <w:t>Capital required for Phase 2 pilot deployment: approximately $300,000 (hardware procurement + cloud infrastructure + regulatory filings). Post-competition funding pathway: NSERC Engage / OCE VIP-I grants ($25–$150 k), followed by a University of Toronto Creative Destruction Lab (CDL) application in the Mobility stream.</w:t>
      </w:r>
    </w:p>
    <w:p>
      <w:r>
        <w:br w:type="page"/>
      </w:r>
    </w:p>
    <w:p>
      <w:pPr>
        <w:spacing w:before="360" w:after="80"/>
        <w:shd w:val="clear" w:color="auto" w:fill="143256"/>
        <w:ind w:left="120"/>
      </w:pPr>
      <w:r>
        <w:rPr>
          <w:b/>
          <w:color w:val="FFFFFF"/>
          <w:sz w:val="28"/>
        </w:rPr>
        <w:t>APPENDIX: FINANCIAL PLAN</w:t>
      </w:r>
    </w:p>
    <w:p>
      <w:pPr>
        <w:spacing w:before="200" w:after="40"/>
        <w:pBdr>
          <w:bottom w:val="single" w:sz="4" w:space="1" w:color="008788"/>
        </w:pBdr>
      </w:pPr>
      <w:r>
        <w:rPr>
          <w:b/>
          <w:color w:val="008788"/>
          <w:sz w:val="24"/>
        </w:rPr>
        <w:t>A.1  Revenue Projections (5-Year)</w:t>
      </w:r>
    </w:p>
    <w:p>
      <w:pPr>
        <w:spacing w:after="80"/>
      </w:pPr>
      <w:r>
        <w:rPr>
          <w:sz w:val="20"/>
        </w:rPr>
        <w:t>The financial model below is based on the following assumptions: Toronto pilot launch in Q4 2026; 3 GreenP garages (600 combined daily sessions); consumer AV penetration of 2.1 % of new vehicle sales in Ontario by 2027 (Conservative), 4.8 % by 2029 (Base). OEM licence fee assumed at $5/vehicle/year SaaS equivalent. All figures in CAD.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880"/>
            <w:shd w:val="clear" w:color="auto" w:fill="006060"/>
            <w:tcBorders>
              <w:top w:val="single" w:sz="4" w:space="0" w:color="143256"/>
              <w:left w:val="single" w:sz="4" w:space="0" w:color="143256"/>
              <w:bottom w:val="single" w:sz="4" w:space="0" w:color="143256"/>
              <w:right w:val="single" w:sz="4" w:space="0" w:color="143256"/>
            </w:tcBorders>
          </w:tcPr>
          <w:p>
            <w:pPr>
              <w:jc w:val="center"/>
            </w:pPr>
            <w:r>
              <w:rPr>
                <w:b/>
                <w:color w:val="FFFFFF"/>
                <w:sz w:val="18"/>
              </w:rPr>
              <w:t>Revenue Stream</w:t>
            </w:r>
          </w:p>
        </w:tc>
        <w:tc>
          <w:tcPr>
            <w:tcW w:type="dxa" w:w="1584"/>
            <w:shd w:val="clear" w:color="auto" w:fill="006060"/>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1 (2026)</w:t>
            </w:r>
          </w:p>
        </w:tc>
        <w:tc>
          <w:tcPr>
            <w:tcW w:type="dxa" w:w="1584"/>
            <w:shd w:val="clear" w:color="auto" w:fill="006060"/>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2 (2027)</w:t>
            </w:r>
          </w:p>
        </w:tc>
        <w:tc>
          <w:tcPr>
            <w:tcW w:type="dxa" w:w="1584"/>
            <w:shd w:val="clear" w:color="auto" w:fill="006060"/>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3 (2028)</w:t>
            </w:r>
          </w:p>
        </w:tc>
        <w:tc>
          <w:tcPr>
            <w:tcW w:type="dxa" w:w="1584"/>
            <w:shd w:val="clear" w:color="auto" w:fill="006060"/>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4 (2029)</w:t>
            </w:r>
          </w:p>
        </w:tc>
        <w:tc>
          <w:tcPr>
            <w:tcW w:type="dxa" w:w="1584"/>
            <w:shd w:val="clear" w:color="auto" w:fill="006060"/>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5 (2030)</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OEM Licence + SaaS</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$120,000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$480,000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$1,200,000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$2,800,000</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Transaction Commission (35%)</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$28,000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$210,000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$840,000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$2,450,000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$5,950,000</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Free Lot Convenience Fee</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$2,100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$18,000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$72,000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$195,000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$480,000</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sz w:val="18"/>
              </w:rPr>
              <w:t>RSU Hardware Sales (at-cost)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$25,000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$52,000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$130,000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$260,000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$520,000</w:t>
            </w:r>
          </w:p>
        </w:tc>
      </w:tr>
      <w:tr>
        <w:tc>
          <w:tcPr>
            <w:tcW w:type="dxa" w:w="2880"/>
            <w:shd w:val="clear" w:color="auto" w:fill="F2F4F7"/>
            <w:tcBorders>
              <w:top w:val="single" w:sz="4" w:space="0" w:color="CCCCCC"/>
              <w:left w:val="single" w:sz="4" w:space="0" w:color="CCCCCC"/>
              <w:bottom w:val="single" w:sz="4" w:space="0" w:color="CCCCCC"/>
              <w:right w:val="single" w:sz="4" w:space="0" w:color="CCCCCC"/>
            </w:tcBorders>
          </w:tcPr>
          <w:p>
            <w:r>
              <w:rPr>
                <w:sz w:val="18"/>
              </w:rPr>
              <w:t>TOTAL REVENUE</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$55,100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$400,000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$1,522,000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$4,105,000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$9,750,000</w:t>
            </w:r>
          </w:p>
        </w:tc>
      </w:tr>
    </w:tbl>
    <w:p>
      <w:pPr>
        <w:spacing w:after="40"/>
      </w:pPr>
    </w:p>
    <w:p>
      <w:pPr>
        <w:spacing w:before="200" w:after="40"/>
        <w:pBdr>
          <w:bottom w:val="single" w:sz="4" w:space="1" w:color="008788"/>
        </w:pBdr>
      </w:pPr>
      <w:r>
        <w:rPr>
          <w:b/>
          <w:color w:val="008788"/>
          <w:sz w:val="24"/>
        </w:rPr>
        <w:t>A.2  Cost Structure (Operating Expenses)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60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Cost Category</w:t>
            </w:r>
          </w:p>
        </w:tc>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1 (2026)</w:t>
            </w:r>
          </w:p>
        </w:tc>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2 (2027)</w:t>
            </w:r>
          </w:p>
        </w:tc>
        <w:tc>
          <w:tcPr>
            <w:tcW w:type="dxa" w:w="1584"/>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3 (2028)</w:t>
            </w:r>
          </w:p>
        </w:tc>
        <w:tc>
          <w:tcPr>
            <w:tcW w:type="dxa" w:w="244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Notes</w:t>
            </w:r>
          </w:p>
        </w:tc>
      </w:tr>
      <w:tr>
        <w:tc>
          <w:tcPr>
            <w:tcW w:type="dxa" w:w="3600"/>
            <w:shd w:val="clear" w:color="auto" w:fill="F2F4F7"/>
            <w:tcBorders>
              <w:top w:val="single" w:sz="4" w:space="0" w:color="CCCCCC"/>
              <w:left w:val="single" w:sz="4" w:space="0" w:color="CCCCCC"/>
              <w:bottom w:val="single" w:sz="4" w:space="0" w:color="CCCCCC"/>
              <w:right w:val="single" w:sz="4" w:space="0" w:color="CCCCCC"/>
            </w:tcBorders>
          </w:tcPr>
          <w:p>
            <w:r>
              <w:rPr>
                <w:sz w:val="18"/>
              </w:rPr>
              <w:t>OBU Hardware (COGS, 100 units)</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$73,972</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$0</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Cohda MK6C pilot units</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8"/>
              </w:rPr>
              <w:t>RSU Hardware (COGS, 50 gates)</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$26,300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$52,000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$130,000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&lt;$526/gate</w:t>
            </w:r>
          </w:p>
        </w:tc>
      </w:tr>
      <w:tr>
        <w:tc>
          <w:tcPr>
            <w:tcW w:type="dxa" w:w="3600"/>
            <w:shd w:val="clear" w:color="auto" w:fill="F2F4F7"/>
            <w:tcBorders>
              <w:top w:val="single" w:sz="4" w:space="0" w:color="CCCCCC"/>
              <w:left w:val="single" w:sz="4" w:space="0" w:color="CCCCCC"/>
              <w:bottom w:val="single" w:sz="4" w:space="0" w:color="CCCCCC"/>
              <w:right w:val="single" w:sz="4" w:space="0" w:color="CCCCCC"/>
            </w:tcBorders>
          </w:tcPr>
          <w:p>
            <w:r>
              <w:rPr>
                <w:sz w:val="18"/>
              </w:rPr>
              <w:t>Cloud Infrastructure</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$12,600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$50,400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$100,800</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AWS Canada; scales with RSU count</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8"/>
              </w:rPr>
              <w:t>Parkopedia API</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$7,200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$14,400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$28,800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Volume pricing est.</w:t>
            </w:r>
          </w:p>
        </w:tc>
      </w:tr>
      <w:tr>
        <w:tc>
          <w:tcPr>
            <w:tcW w:type="dxa" w:w="3600"/>
            <w:shd w:val="clear" w:color="auto" w:fill="F2F4F7"/>
            <w:tcBorders>
              <w:top w:val="single" w:sz="4" w:space="0" w:color="CCCCCC"/>
              <w:left w:val="single" w:sz="4" w:space="0" w:color="CCCCCC"/>
              <w:bottom w:val="single" w:sz="4" w:space="0" w:color="CCCCCC"/>
              <w:right w:val="single" w:sz="4" w:space="0" w:color="CCCCCC"/>
            </w:tcBorders>
          </w:tcPr>
          <w:p>
            <w:r>
              <w:rPr>
                <w:sz w:val="18"/>
              </w:rPr>
              <w:t>Payment Processing (Stripe)</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$1,260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$9,450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$37,800</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$0.30 + 2.9% per txn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8"/>
              </w:rPr>
              <w:t>R&amp;D / Engineering</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$15,000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$285,000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$520,000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Per roadmap above</w:t>
            </w:r>
          </w:p>
        </w:tc>
      </w:tr>
      <w:tr>
        <w:tc>
          <w:tcPr>
            <w:tcW w:type="dxa" w:w="3600"/>
            <w:shd w:val="clear" w:color="auto" w:fill="F2F4F7"/>
            <w:tcBorders>
              <w:top w:val="single" w:sz="4" w:space="0" w:color="CCCCCC"/>
              <w:left w:val="single" w:sz="4" w:space="0" w:color="CCCCCC"/>
              <w:bottom w:val="single" w:sz="4" w:space="0" w:color="CCCCCC"/>
              <w:right w:val="single" w:sz="4" w:space="0" w:color="CCCCCC"/>
            </w:tcBorders>
          </w:tcPr>
          <w:p>
            <w:r>
              <w:rPr>
                <w:sz w:val="18"/>
              </w:rPr>
              <w:t>Sales &amp; Marketing</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$5,000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$40,000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$120,000</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t>CPA conference, OEM outreach</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8"/>
              </w:rPr>
              <w:t>Admin / Legal / Regulatory</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$8,000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$25,000</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sz w:val="18"/>
              </w:rPr>
              <w:t>$50,000</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sz w:val="18"/>
              </w:rPr>
              <w:t>ODD filing, IP filing</w:t>
            </w:r>
          </w:p>
        </w:tc>
      </w:tr>
      <w:tr>
        <w:tc>
          <w:tcPr>
            <w:tcW w:type="dxa" w:w="3600"/>
            <w:shd w:val="clear" w:color="auto" w:fill="F2F4F7"/>
            <w:tcBorders>
              <w:top w:val="single" w:sz="4" w:space="0" w:color="CCCCCC"/>
              <w:left w:val="single" w:sz="4" w:space="0" w:color="CCCCCC"/>
              <w:bottom w:val="single" w:sz="4" w:space="0" w:color="CCCCCC"/>
              <w:right w:val="single" w:sz="4" w:space="0" w:color="CCCCCC"/>
            </w:tcBorders>
          </w:tcPr>
          <w:p>
            <w:r>
              <w:rPr>
                <w:sz w:val="18"/>
              </w:rPr>
              <w:t>TOTAL OPEX</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$149,332</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$476,250</w:t>
            </w:r>
          </w:p>
        </w:tc>
        <w:tc>
          <w:tcPr>
            <w:tcW w:type="dxa" w:w="1584"/>
            <w:shd w:val="clear" w:color="auto" w:fill="F2F4F7"/>
            <w:tcBorders>
              <w:top w:val="single" w:sz="4" w:space="0" w:color="CCCCCC"/>
              <w:left w:val="single" w:sz="4" w:space="0" w:color="CCCCCC"/>
              <w:bottom w:val="single" w:sz="4" w:space="0" w:color="CCCCCC"/>
              <w:right w:val="single" w:sz="4" w:space="0" w:color="CCCCCC"/>
            </w:tcBorders>
          </w:tcPr>
          <w:p>
            <w:r>
              <w:rPr>
                <w:sz w:val="18"/>
              </w:rPr>
              <w:t>$987,400</w:t>
            </w:r>
          </w:p>
        </w:tc>
        <w:tc>
          <w:tcPr>
            <w:tcW w:type="dxa" w:w="2448"/>
            <w:shd w:val="clear" w:color="auto" w:fill="F2F4F7"/>
            <w:tcBorders>
              <w:top w:val="single" w:sz="4" w:space="0" w:color="CCCCCC"/>
              <w:left w:val="single" w:sz="4" w:space="0" w:color="CCCCCC"/>
              <w:bottom w:val="single" w:sz="4" w:space="0" w:color="CCCCCC"/>
              <w:right w:val="single" w:sz="4" w:space="0" w:color="CCCCCC"/>
            </w:tcBorders>
          </w:tcPr>
          <w:p>
            <w:r>
              <w:rPr>
                <w:sz w:val="18"/>
              </w:rPr>
            </w:r>
          </w:p>
        </w:tc>
      </w:tr>
    </w:tbl>
    <w:p>
      <w:pPr>
        <w:spacing w:after="40"/>
      </w:pPr>
    </w:p>
    <w:p>
      <w:pPr>
        <w:spacing w:before="200" w:after="40"/>
        <w:pBdr>
          <w:bottom w:val="single" w:sz="4" w:space="1" w:color="008788"/>
        </w:pBdr>
      </w:pPr>
      <w:r>
        <w:rPr>
          <w:b/>
          <w:color w:val="008788"/>
          <w:sz w:val="24"/>
        </w:rPr>
        <w:t>A.3  Unit Economics (Per Transaction)</w:t>
      </w:r>
    </w:p>
    <w:tbl>
      <w:tblPr>
        <w:tblStyle w:val="TableGrid"/>
        <w:tblW w:type="auto" w:w="0"/>
        <w:tblLook w:firstColumn="1" w:firstRow="1" w:lastColumn="0" w:lastRow="0" w:noHBand="0" w:noVBand="1" w:val="04A0"/>
      </w:tblPr>
      <w:tblGrid>
        <w:gridCol w:w="3120"/>
        <w:gridCol w:w="3120"/>
        <w:gridCol w:w="3120"/>
      </w:tblGrid>
      <w:tr>
        <w:tc>
          <w:tcPr>
            <w:tcW w:type="dxa" w:w="50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Metric</w:t>
            </w:r>
          </w:p>
        </w:tc>
        <w:tc>
          <w:tcPr>
            <w:tcW w:type="dxa" w:w="144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Value</w:t>
            </w:r>
          </w:p>
        </w:tc>
        <w:tc>
          <w:tcPr>
            <w:tcW w:type="dxa" w:w="432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Notes</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Average parking ticket (base price)</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$18.50</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Blended GreenP downtown rate</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AutoPark gross (35%)</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$6.48</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T(D) = constant 35%</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Stripe processing fee</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$0.84</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$0.30 + 2.9% × $18.50 user-pays</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AutoPark net per transaction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$5.64</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Before COGS allocation</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Annual transactions per RSU (daily avg 12 × 365)</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4,380</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At 60% gate utilisation</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sz w:val="18"/>
              </w:rPr>
              <w:t>Annual net per RSU (5.64 × 4,380)</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sz w:val="18"/>
              </w:rPr>
              <w:t>$24,703</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8"/>
              </w:rPr>
              <w:t>Strong RSU ROI at &lt;$526 hardware cost</w:t>
            </w:r>
          </w:p>
        </w:tc>
      </w:tr>
      <w:tr>
        <w:tc>
          <w:tcPr>
            <w:tcW w:type="dxa" w:w="5040"/>
            <w:shd w:val="clear" w:color="auto" w:fill="F2F4F7"/>
            <w:tcBorders>
              <w:top w:val="single" w:sz="4" w:space="0" w:color="CCCCCC"/>
              <w:left w:val="single" w:sz="4" w:space="0" w:color="CCCCCC"/>
              <w:bottom w:val="single" w:sz="4" w:space="0" w:color="CCCCCC"/>
              <w:right w:val="single" w:sz="4" w:space="0" w:color="CCCCCC"/>
            </w:tcBorders>
          </w:tcPr>
          <w:p>
            <w:r>
              <w:rPr>
                <w:sz w:val="18"/>
              </w:rPr>
              <w:t>RSU payback period</w:t>
            </w:r>
          </w:p>
        </w:tc>
        <w:tc>
          <w:tcPr>
            <w:tcW w:type="dxa" w:w="1440"/>
            <w:shd w:val="clear" w:color="auto" w:fill="F2F4F7"/>
            <w:tcBorders>
              <w:top w:val="single" w:sz="4" w:space="0" w:color="CCCCCC"/>
              <w:left w:val="single" w:sz="4" w:space="0" w:color="CCCCCC"/>
              <w:bottom w:val="single" w:sz="4" w:space="0" w:color="CCCCCC"/>
              <w:right w:val="single" w:sz="4" w:space="0" w:color="CCCCCC"/>
            </w:tcBorders>
          </w:tcPr>
          <w:p>
            <w:r>
              <w:rPr>
                <w:sz w:val="18"/>
              </w:rPr>
              <w:t>~8 days</w:t>
            </w:r>
          </w:p>
        </w:tc>
        <w:tc>
          <w:tcPr>
            <w:tcW w:type="dxa" w:w="4320"/>
            <w:shd w:val="clear" w:color="auto" w:fill="F2F4F7"/>
            <w:tcBorders>
              <w:top w:val="single" w:sz="4" w:space="0" w:color="CCCCCC"/>
              <w:left w:val="single" w:sz="4" w:space="0" w:color="CCCCCC"/>
              <w:bottom w:val="single" w:sz="4" w:space="0" w:color="CCCCCC"/>
              <w:right w:val="single" w:sz="4" w:space="0" w:color="CCCCCC"/>
            </w:tcBorders>
          </w:tcPr>
          <w:p>
            <w:r>
              <w:rPr>
                <w:sz w:val="18"/>
              </w:rPr>
              <w:t>Hardware recovered in first week of operation</w:t>
            </w:r>
          </w:p>
        </w:tc>
      </w:tr>
    </w:tbl>
    <w:p>
      <w:pPr>
        <w:spacing w:after="40"/>
      </w:pPr>
    </w:p>
    <w:p>
      <w:pPr>
        <w:spacing w:before="200" w:after="40"/>
        <w:pBdr>
          <w:bottom w:val="single" w:sz="4" w:space="1" w:color="008788"/>
        </w:pBdr>
      </w:pPr>
      <w:r>
        <w:rPr>
          <w:b/>
          <w:color w:val="008788"/>
          <w:sz w:val="24"/>
        </w:rPr>
        <w:t>A.4  Funding &amp; Financing Requirements</w:t>
      </w:r>
    </w:p>
    <w:p>
      <w:pPr>
        <w:spacing w:after="80"/>
      </w:pPr>
      <w:r>
        <w:rPr>
          <w:sz w:val="20"/>
        </w:rPr>
        <w:t>AutoPark requires approximately $300,000 for Phase 2 Pilot Deployment (Q3–Q4 2026). Planned funding sources:</w:t>
      </w:r>
    </w:p>
    <w:p>
      <w:pPr>
        <w:pStyle w:val="ListBullet"/>
        <w:spacing w:after="40"/>
      </w:pPr>
      <w:r>
        <w:rPr>
          <w:b/>
          <w:sz w:val="20"/>
        </w:rPr>
        <w:t xml:space="preserve">$25,000 — direct industry-academic partnership (lot operator as industry partner): </w:t>
      </w:r>
      <w:r>
        <w:rPr>
          <w:sz w:val="20"/>
        </w:rPr>
        <w:t>NSERC Engage Grant</w:t>
      </w:r>
    </w:p>
    <w:p>
      <w:pPr>
        <w:pStyle w:val="ListBullet"/>
        <w:spacing w:after="40"/>
      </w:pPr>
      <w:r>
        <w:rPr>
          <w:b/>
          <w:sz w:val="20"/>
        </w:rPr>
        <w:t xml:space="preserve">$150,000 — Ontario Centres of Excellence matching fund: </w:t>
      </w:r>
      <w:r>
        <w:rPr>
          <w:sz w:val="20"/>
        </w:rPr>
        <w:t>OCE VIP-I (Voucher for Innovation and Productivity)</w:t>
      </w:r>
    </w:p>
    <w:p>
      <w:pPr>
        <w:pStyle w:val="ListBullet"/>
        <w:spacing w:after="40"/>
      </w:pPr>
      <w:r>
        <w:rPr>
          <w:b/>
          <w:sz w:val="20"/>
        </w:rPr>
        <w:t xml:space="preserve">$50,000 — early-stage startup funding + co-working space: </w:t>
      </w:r>
      <w:r>
        <w:rPr>
          <w:sz w:val="20"/>
        </w:rPr>
        <w:t>University of Toronto Entrepreneurship Hatchery</w:t>
      </w:r>
    </w:p>
    <w:p>
      <w:pPr>
        <w:pStyle w:val="ListBullet"/>
        <w:spacing w:after="40"/>
      </w:pPr>
      <w:r>
        <w:rPr>
          <w:b/>
          <w:sz w:val="20"/>
        </w:rPr>
        <w:t xml:space="preserve">$75,000 — GM Canada AutoDrive development grant (Year 5): </w:t>
      </w:r>
      <w:r>
        <w:rPr>
          <w:sz w:val="20"/>
        </w:rPr>
        <w:t>AutoDrive Challenge OEM Sponsor Development Fund</w:t>
      </w:r>
    </w:p>
    <w:p>
      <w:pPr>
        <w:spacing w:after="80"/>
      </w:pPr>
      <w:r>
        <w:rPr>
          <w:sz w:val="20"/>
        </w:rPr>
        <w:t>Total: $300,000. No external equity raised at this stage. Post-commercial launch target: CDL Mobility Stream application, Fall 2027.</w:t>
      </w:r>
    </w:p>
    <w:p>
      <w:pPr>
        <w:spacing w:after="40"/>
      </w:pPr>
    </w:p>
    <w:p>
      <w:pPr>
        <w:spacing w:before="200" w:after="40"/>
        <w:pBdr>
          <w:bottom w:val="single" w:sz="4" w:space="1" w:color="008788"/>
        </w:pBdr>
      </w:pPr>
      <w:r>
        <w:rPr>
          <w:b/>
          <w:color w:val="008788"/>
          <w:sz w:val="24"/>
        </w:rPr>
        <w:t>A.5  Key Financial KPIs</w:t>
      </w:r>
    </w:p>
    <w:tbl>
      <w:tblPr>
        <w:tblStyle w:val="TableGrid"/>
        <w:tblW w:type="auto" w:w="0"/>
        <w:tblLook w:firstColumn="1" w:firstRow="1" w:lastColumn="0" w:lastRow="0" w:noHBand="0" w:noVBand="1" w:val="04A0"/>
      </w:tblPr>
      <w:tblGrid>
        <w:gridCol w:w="2340"/>
        <w:gridCol w:w="2340"/>
        <w:gridCol w:w="2340"/>
        <w:gridCol w:w="2340"/>
      </w:tblGrid>
      <w:tr>
        <w:tc>
          <w:tcPr>
            <w:tcW w:type="dxa" w:w="4608"/>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KPI</w:t>
            </w:r>
          </w:p>
        </w:tc>
        <w:tc>
          <w:tcPr>
            <w:tcW w:type="dxa" w:w="201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1 Target</w:t>
            </w:r>
          </w:p>
        </w:tc>
        <w:tc>
          <w:tcPr>
            <w:tcW w:type="dxa" w:w="2016"/>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2 Target</w:t>
            </w:r>
          </w:p>
        </w:tc>
        <w:tc>
          <w:tcPr>
            <w:tcW w:type="dxa" w:w="2160"/>
            <w:shd w:val="clear" w:color="auto" w:fill="143256"/>
            <w:tcBorders>
              <w:top w:val="single" w:sz="4" w:space="0" w:color="143256"/>
              <w:left w:val="single" w:sz="4" w:space="0" w:color="143256"/>
              <w:bottom w:val="single" w:sz="4" w:space="0" w:color="143256"/>
              <w:right w:val="single" w:sz="4" w:space="0" w:color="143256"/>
            </w:tcBorders>
          </w:tcPr>
          <w:p>
            <w:pPr>
              <w:jc w:val="center"/>
            </w:pPr>
            <w:r>
              <w:rPr>
                <w:b/>
                <w:color w:val="FFFFFF"/>
                <w:sz w:val="18"/>
              </w:rPr>
              <w:t>Year 3 Target</w:t>
            </w:r>
          </w:p>
        </w:tc>
      </w:tr>
      <w:tr>
        <w:tc>
          <w:tcPr>
            <w:tcW w:type="dxa" w:w="4608"/>
            <w:shd w:val="clear" w:color="auto" w:fill="F2F4F7"/>
            <w:tcBorders>
              <w:top w:val="single" w:sz="4" w:space="0" w:color="CCCCCC"/>
              <w:left w:val="single" w:sz="4" w:space="0" w:color="CCCCCC"/>
              <w:bottom w:val="single" w:sz="4" w:space="0" w:color="CCCCCC"/>
              <w:right w:val="single" w:sz="4" w:space="0" w:color="CCCCCC"/>
            </w:tcBorders>
          </w:tcPr>
          <w:p>
            <w:r>
              <w:rPr>
                <w:sz w:val="18"/>
              </w:rPr>
              <w:t>RSU Units Deployed</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50</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150</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400</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sz w:val="18"/>
              </w:rPr>
              <w:t>Enrolled Vehicles (OBU)</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100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2,500</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12,000</w:t>
            </w:r>
          </w:p>
        </w:tc>
      </w:tr>
      <w:tr>
        <w:tc>
          <w:tcPr>
            <w:tcW w:type="dxa" w:w="4608"/>
            <w:shd w:val="clear" w:color="auto" w:fill="F2F4F7"/>
            <w:tcBorders>
              <w:top w:val="single" w:sz="4" w:space="0" w:color="CCCCCC"/>
              <w:left w:val="single" w:sz="4" w:space="0" w:color="CCCCCC"/>
              <w:bottom w:val="single" w:sz="4" w:space="0" w:color="CCCCCC"/>
              <w:right w:val="single" w:sz="4" w:space="0" w:color="CCCCCC"/>
            </w:tcBorders>
          </w:tcPr>
          <w:p>
            <w:r>
              <w:rPr>
                <w:sz w:val="18"/>
              </w:rPr>
              <w:t>Monthly Active Drivers (app)</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200</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4,000</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20,000</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sz w:val="18"/>
              </w:rPr>
              <w:t>Avg Daily Sessions per RSU</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12</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20</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28</w:t>
            </w:r>
          </w:p>
        </w:tc>
      </w:tr>
      <w:tr>
        <w:tc>
          <w:tcPr>
            <w:tcW w:type="dxa" w:w="4608"/>
            <w:shd w:val="clear" w:color="auto" w:fill="F2F4F7"/>
            <w:tcBorders>
              <w:top w:val="single" w:sz="4" w:space="0" w:color="CCCCCC"/>
              <w:left w:val="single" w:sz="4" w:space="0" w:color="CCCCCC"/>
              <w:bottom w:val="single" w:sz="4" w:space="0" w:color="CCCCCC"/>
              <w:right w:val="single" w:sz="4" w:space="0" w:color="CCCCCC"/>
            </w:tcBorders>
          </w:tcPr>
          <w:p>
            <w:r>
              <w:rPr>
                <w:sz w:val="18"/>
              </w:rPr>
              <w:t>Blended Transaction Commission</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35%</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35%</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35%</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sz w:val="18"/>
              </w:rPr>
              <w:t>Monthly Recurring Revenue (MRR)</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$4,600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$33,000</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$127,000</w:t>
            </w:r>
          </w:p>
        </w:tc>
      </w:tr>
      <w:tr>
        <w:tc>
          <w:tcPr>
            <w:tcW w:type="dxa" w:w="4608"/>
            <w:shd w:val="clear" w:color="auto" w:fill="F2F4F7"/>
            <w:tcBorders>
              <w:top w:val="single" w:sz="4" w:space="0" w:color="CCCCCC"/>
              <w:left w:val="single" w:sz="4" w:space="0" w:color="CCCCCC"/>
              <w:bottom w:val="single" w:sz="4" w:space="0" w:color="CCCCCC"/>
              <w:right w:val="single" w:sz="4" w:space="0" w:color="CCCCCC"/>
            </w:tcBorders>
          </w:tcPr>
          <w:p>
            <w:r>
              <w:rPr>
                <w:sz w:val="18"/>
              </w:rPr>
              <w:t>Gross Margin</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~55%</w:t>
            </w:r>
          </w:p>
        </w:tc>
        <w:tc>
          <w:tcPr>
            <w:tcW w:type="dxa" w:w="2016"/>
            <w:shd w:val="clear" w:color="auto" w:fill="F2F4F7"/>
            <w:tcBorders>
              <w:top w:val="single" w:sz="4" w:space="0" w:color="CCCCCC"/>
              <w:left w:val="single" w:sz="4" w:space="0" w:color="CCCCCC"/>
              <w:bottom w:val="single" w:sz="4" w:space="0" w:color="CCCCCC"/>
              <w:right w:val="single" w:sz="4" w:space="0" w:color="CCCCCC"/>
            </w:tcBorders>
          </w:tcPr>
          <w:p>
            <w:r>
              <w:rPr>
                <w:sz w:val="18"/>
              </w:rPr>
              <w:t>~62%</w:t>
            </w:r>
          </w:p>
        </w:tc>
        <w:tc>
          <w:tcPr>
            <w:tcW w:type="dxa" w:w="2160"/>
            <w:shd w:val="clear" w:color="auto" w:fill="F2F4F7"/>
            <w:tcBorders>
              <w:top w:val="single" w:sz="4" w:space="0" w:color="CCCCCC"/>
              <w:left w:val="single" w:sz="4" w:space="0" w:color="CCCCCC"/>
              <w:bottom w:val="single" w:sz="4" w:space="0" w:color="CCCCCC"/>
              <w:right w:val="single" w:sz="4" w:space="0" w:color="CCCCCC"/>
            </w:tcBorders>
          </w:tcPr>
          <w:p>
            <w:r>
              <w:rPr>
                <w:sz w:val="18"/>
              </w:rPr>
              <w:t>~68%</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Pr>
                <w:sz w:val="18"/>
              </w:rPr>
              <w:t>OEM Partners Signed (LOI)</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0</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sz w:val="18"/>
              </w:rPr>
              <w:t>1</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sz w:val="18"/>
              </w:rPr>
              <w:t>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