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1F3964"/>
          <w:sz w:val="44"/>
        </w:rPr>
        <w:t>AutoPark — Dynamic Pricing Model</w:t>
      </w:r>
    </w:p>
    <w:p>
      <w:pPr>
        <w:spacing w:after="80"/>
        <w:jc w:val="center"/>
      </w:pPr>
      <w:r>
        <w:rPr>
          <w:rFonts w:ascii="Arial" w:hAnsi="Arial"/>
          <w:i/>
          <w:color w:val="707070"/>
          <w:sz w:val="20"/>
        </w:rPr>
        <w:t>Two-Sided Marketplace Revenue Framework  |  aUToronto MI Team  |  Internal</w:t>
      </w:r>
    </w:p>
    <w:p>
      <w:pPr>
        <w:spacing w:after="8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1. Model Overview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AutoPark operates as a two-sided marketplace between parking lot owners (supply) and AV drivers (demand). Every paid parking transaction generates revenue from both sides: a commission taken from the parking lot's proceeds, and a convenience fee built into the price the user sees. The key insight is that the split of AutoPark's total take shifts dynamically based on demand elasticity — analogous to how a tax burden shifts between buyer and seller depending on price elasticity.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When parking demand is HIGH: users are price-inelastic (they need a spot) so they bear more of the fee. Lots are less dependent on AutoPark's traffic so they pay less. When demand is LOW: lots are desperate for traffic (inelastic) so they pay more. Users have alternatives (elastic) so they pay less. The total AutoPark take per transaction remains stable — only the incidence shifts.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Demand Scenario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User Elasticity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Lot Elasticity</w:t>
            </w:r>
          </w:p>
        </w:tc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Who Pays More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Who Pays Less</w:t>
            </w:r>
          </w:p>
        </w:tc>
      </w:tr>
      <w:tr>
        <w:tc>
          <w:tcPr>
            <w:tcW w:type="dxa" w:w="2592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High demand</w:t>
              <w:br/>
              <w:t>(downtown peak, event day)</w:t>
            </w:r>
          </w:p>
        </w:tc>
        <w:tc>
          <w:tcPr>
            <w:tcW w:type="dxa" w:w="201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Low (inelastic)</w:t>
              <w:br/>
              <w:t>— must park</w:t>
            </w:r>
          </w:p>
        </w:tc>
        <w:tc>
          <w:tcPr>
            <w:tcW w:type="dxa" w:w="201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High (elastic)</w:t>
              <w:br/>
              <w:t>— already full</w:t>
            </w:r>
          </w:p>
        </w:tc>
        <w:tc>
          <w:tcPr>
            <w:tcW w:type="dxa" w:w="216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User pays</w:t>
              <w:br/>
              <w:t>higher markup</w:t>
            </w:r>
          </w:p>
        </w:tc>
        <w:tc>
          <w:tcPr>
            <w:tcW w:type="dxa" w:w="201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 pays</w:t>
              <w:br/>
              <w:t>lower commission</w:t>
            </w:r>
          </w:p>
        </w:tc>
      </w:tr>
      <w:tr>
        <w:tc>
          <w:tcPr>
            <w:tcW w:type="dxa" w:w="259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Low demand</w:t>
              <w:br/>
              <w:t>(suburban, off-peak)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High (elastic)</w:t>
              <w:br/>
              <w:t>— alternatives exist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Low (inelastic)</w:t>
              <w:br/>
              <w:t>— needs AutoPark traffic</w:t>
            </w:r>
          </w:p>
        </w:tc>
        <w:tc>
          <w:tcPr>
            <w:tcW w:type="dxa" w:w="216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 pays</w:t>
              <w:br/>
              <w:t>higher commission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User pays</w:t>
              <w:br/>
              <w:t>lower markup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2. Demand Index (D) — ML-Predicted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The Demand Index D is a continuous score from 0.0 to 1.0, predicted in real-time by AutoPark's ML model for each parking lot. It is not a simple rule — it is learned from historical patterns and live signals. D is recomputed at regular intervals and serves as the sole input to the pricing formulas.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2.1 ML Model Input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Category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 Signals</w:t>
            </w:r>
          </w:p>
        </w:tc>
        <w:tc>
          <w:tcPr>
            <w:tcW w:type="dxa" w:w="360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Time &amp; Calendar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Hour of day, day of week, month, holidays, school calendar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Captures daily/weekly/seasonal rhythm of parking demand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Live Lot Occupancy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V2V spot count from RSU + parking lot API (if available)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Real-time ground truth — most direct demand signal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Nearby Events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Rogers Centre, Scotiabank Arena, convention centres, concerts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Event-day demand spikes; lot-specific proximity weighting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Geographic Context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Distance to downtown core, nearest transit hub, density zone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Persistent structural demand signal per lot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Weather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Temperature, precipitation, transit disruptions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Cold/rain reduces transit use → higher parking demand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Live Price Signal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Current prices from Parkopedia / Google Maps for nearby lots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If competitors are surging, demand is high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Network Data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# of OBUs currently routing to this lot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Leading indicator of imminent demand spike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2.2 D Score Interpretation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 Range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547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Typical Scenario</w:t>
            </w:r>
          </w:p>
        </w:tc>
      </w:tr>
      <w:tr>
        <w:tc>
          <w:tcPr>
            <w:tcW w:type="dxa" w:w="158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0.0 – 0.2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Very Low Demand</w:t>
            </w:r>
          </w:p>
        </w:tc>
        <w:tc>
          <w:tcPr>
            <w:tcW w:type="dxa" w:w="547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Suburban lot, Tuesday midday, no events nearby</w:t>
            </w:r>
          </w:p>
        </w:tc>
      </w:tr>
      <w:tr>
        <w:tc>
          <w:tcPr>
            <w:tcW w:type="dxa" w:w="1584"/>
            <w:shd w:val="clear" w:color="auto" w:fill="F2FF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0.2 – 0.4</w:t>
            </w:r>
          </w:p>
        </w:tc>
        <w:tc>
          <w:tcPr>
            <w:tcW w:type="dxa" w:w="2304"/>
            <w:shd w:val="clear" w:color="auto" w:fill="F2FF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Low Demand</w:t>
            </w:r>
          </w:p>
        </w:tc>
        <w:tc>
          <w:tcPr>
            <w:tcW w:type="dxa" w:w="5472"/>
            <w:shd w:val="clear" w:color="auto" w:fill="F2FF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Residential area, weekday morning off-peak</w:t>
            </w:r>
          </w:p>
        </w:tc>
      </w:tr>
      <w:tr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0.4 – 0.6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Moderate Demand</w:t>
            </w:r>
          </w:p>
        </w:tc>
        <w:tc>
          <w:tcPr>
            <w:tcW w:type="dxa" w:w="54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Pearson Airport standard weekday; shopping mall Saturday noon</w:t>
            </w:r>
          </w:p>
        </w:tc>
      </w:tr>
      <w:tr>
        <w:tc>
          <w:tcPr>
            <w:tcW w:type="dxa" w:w="158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0.6 – 0.8</w:t>
            </w:r>
          </w:p>
        </w:tc>
        <w:tc>
          <w:tcPr>
            <w:tcW w:type="dxa" w:w="230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High Demand</w:t>
            </w:r>
          </w:p>
        </w:tc>
        <w:tc>
          <w:tcPr>
            <w:tcW w:type="dxa" w:w="5472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Downtown core, weekday evening; pre-event buildup</w:t>
            </w:r>
          </w:p>
        </w:tc>
      </w:tr>
      <w:tr>
        <w:tc>
          <w:tcPr>
            <w:tcW w:type="dxa" w:w="1584"/>
            <w:shd w:val="clear" w:color="auto" w:fill="FF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0.8 – 1.0</w:t>
            </w:r>
          </w:p>
        </w:tc>
        <w:tc>
          <w:tcPr>
            <w:tcW w:type="dxa" w:w="2304"/>
            <w:shd w:val="clear" w:color="auto" w:fill="FF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Very High Demand</w:t>
            </w:r>
          </w:p>
        </w:tc>
        <w:tc>
          <w:tcPr>
            <w:tcW w:type="dxa" w:w="5472"/>
            <w:shd w:val="clear" w:color="auto" w:fill="FF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Rogers Centre game night; downtown Friday dinner rush; snowstorm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3. Pricing Formulas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Two formulas govern AutoPark's take on every paid transaction. Both are linear functions of D, operating within defined floors and ceilings. The total AutoPark take rate is constant at 35% of the base lot price — only the incidence between lot and user shifts.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3.1 Lot Commission Rate  L(D)</w:t>
      </w:r>
    </w:p>
    <w:p>
      <w:pPr>
        <w:spacing w:before="120" w:after="120"/>
        <w:ind w:left="216"/>
        <w:shd w:val="clear" w:color="auto" w:fill="DEEAF1"/>
      </w:pPr>
      <w:r>
        <w:rPr>
          <w:rFonts w:ascii="Arial" w:hAnsi="Arial"/>
          <w:b/>
          <w:color w:val="2E75B6"/>
          <w:sz w:val="20"/>
        </w:rPr>
        <w:t>L(D)  =  30%  −  (15% × D)         [Range: 15% at D=1.0   →   30% at D=0.0]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The lot pays AutoPark a commission on the base parking price P. This is deducted from what AutoPark remits to the lot. L decreases as demand rises — when the lot is already busy, AutoPark provides less incremental value so it charges less.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3.2 User Convenience Fee  U(D)</w:t>
      </w:r>
    </w:p>
    <w:p>
      <w:pPr>
        <w:spacing w:before="120" w:after="120"/>
        <w:ind w:left="216"/>
        <w:shd w:val="clear" w:color="auto" w:fill="DEEAF1"/>
      </w:pPr>
      <w:r>
        <w:rPr>
          <w:rFonts w:ascii="Arial" w:hAnsi="Arial"/>
          <w:b/>
          <w:color w:val="2E75B6"/>
          <w:sz w:val="20"/>
        </w:rPr>
        <w:t>U(D)  =  5%  +  (15% × D)          [Range: 5% at D=0.0   →   20% at D=1.0]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The convenience fee is built into the price the user sees — they see one total price with no separate line item for AutoPark. U increases as demand rises because users are less price-sensitive when parking is scarce.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3.3 Total AutoPark Take  T(D)</w:t>
      </w:r>
    </w:p>
    <w:p>
      <w:pPr>
        <w:spacing w:before="120" w:after="120"/>
        <w:ind w:left="216"/>
        <w:shd w:val="clear" w:color="auto" w:fill="E2EFDA"/>
      </w:pPr>
      <w:r>
        <w:rPr>
          <w:rFonts w:ascii="Arial" w:hAnsi="Arial"/>
          <w:b/>
          <w:color w:val="375C23"/>
          <w:sz w:val="20"/>
        </w:rPr>
        <w:t>T(D)  =  L(D) + U(D)  =  (30% − 15%D) + (5% + 15%D)  =  35%  (constant)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The total AutoPark revenue per transaction is always 35% of the base price P, regardless of demand. This creates predictable, stable per-transaction economics for financial modelling. The dynamic element is purely about burden distribution to maximise adoption on both sides of the marketplace.</w:t>
      </w:r>
    </w:p>
    <w:p>
      <w:pPr>
        <w:spacing w:before="200" w:after="60"/>
      </w:pPr>
      <w:r>
        <w:rPr>
          <w:rFonts w:ascii="Arial" w:hAnsi="Arial"/>
          <w:b/>
          <w:color w:val="2E75B6"/>
          <w:sz w:val="22"/>
        </w:rPr>
        <w:t>3.4 Transaction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44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01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Receives / Pays</w:t>
            </w:r>
          </w:p>
        </w:tc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129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 D=0.0</w:t>
            </w:r>
          </w:p>
        </w:tc>
        <w:tc>
          <w:tcPr>
            <w:tcW w:type="dxa" w:w="144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 D=0.5</w:t>
            </w:r>
          </w:p>
        </w:tc>
        <w:tc>
          <w:tcPr>
            <w:tcW w:type="dxa" w:w="1296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 D=1.0</w:t>
            </w:r>
          </w:p>
        </w:tc>
      </w:tr>
      <w:tr>
        <w:tc>
          <w:tcPr>
            <w:tcW w:type="dxa" w:w="244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Parking Lot</w:t>
            </w:r>
          </w:p>
        </w:tc>
        <w:tc>
          <w:tcPr>
            <w:tcW w:type="dxa" w:w="201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Receives (net)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(1 − L(D))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70% of P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77.5% of P</w:t>
            </w:r>
          </w:p>
        </w:tc>
        <w:tc>
          <w:tcPr>
            <w:tcW w:type="dxa" w:w="1296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85% of P</w:t>
            </w:r>
          </w:p>
        </w:tc>
      </w:tr>
      <w:tr>
        <w:tc>
          <w:tcPr>
            <w:tcW w:type="dxa" w:w="2448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User</w:t>
            </w:r>
          </w:p>
        </w:tc>
        <w:tc>
          <w:tcPr>
            <w:tcW w:type="dxa" w:w="201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Pays (total)</w:t>
            </w:r>
          </w:p>
        </w:tc>
        <w:tc>
          <w:tcPr>
            <w:tcW w:type="dxa" w:w="2304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(1 + U(D))</w:t>
            </w:r>
          </w:p>
        </w:tc>
        <w:tc>
          <w:tcPr>
            <w:tcW w:type="dxa" w:w="129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105% of P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112.5% of P</w:t>
            </w:r>
          </w:p>
        </w:tc>
        <w:tc>
          <w:tcPr>
            <w:tcW w:type="dxa" w:w="1296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120% of P</w:t>
            </w:r>
          </w:p>
        </w:tc>
      </w:tr>
      <w:tr>
        <w:tc>
          <w:tcPr>
            <w:tcW w:type="dxa" w:w="2448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— Lot Commission</w:t>
            </w:r>
          </w:p>
        </w:tc>
        <w:tc>
          <w:tcPr>
            <w:tcW w:type="dxa" w:w="201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Revenue</w:t>
            </w:r>
          </w:p>
        </w:tc>
        <w:tc>
          <w:tcPr>
            <w:tcW w:type="dxa" w:w="230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L(D)</w:t>
            </w:r>
          </w:p>
        </w:tc>
        <w:tc>
          <w:tcPr>
            <w:tcW w:type="dxa" w:w="129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30% of P</w:t>
            </w:r>
          </w:p>
        </w:tc>
        <w:tc>
          <w:tcPr>
            <w:tcW w:type="dxa" w:w="144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22.5% of P</w:t>
            </w:r>
          </w:p>
        </w:tc>
        <w:tc>
          <w:tcPr>
            <w:tcW w:type="dxa" w:w="129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15% of P</w:t>
            </w:r>
          </w:p>
        </w:tc>
      </w:tr>
      <w:tr>
        <w:tc>
          <w:tcPr>
            <w:tcW w:type="dxa" w:w="2448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— User Fee</w:t>
            </w:r>
          </w:p>
        </w:tc>
        <w:tc>
          <w:tcPr>
            <w:tcW w:type="dxa" w:w="201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Revenue</w:t>
            </w:r>
          </w:p>
        </w:tc>
        <w:tc>
          <w:tcPr>
            <w:tcW w:type="dxa" w:w="2304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U(D)</w:t>
            </w:r>
          </w:p>
        </w:tc>
        <w:tc>
          <w:tcPr>
            <w:tcW w:type="dxa" w:w="129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5% of P</w:t>
            </w:r>
          </w:p>
        </w:tc>
        <w:tc>
          <w:tcPr>
            <w:tcW w:type="dxa" w:w="144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12.5% of P</w:t>
            </w:r>
          </w:p>
        </w:tc>
        <w:tc>
          <w:tcPr>
            <w:tcW w:type="dxa" w:w="1296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20% of P</w:t>
            </w:r>
          </w:p>
        </w:tc>
      </w:tr>
      <w:tr>
        <w:tc>
          <w:tcPr>
            <w:tcW w:type="dxa" w:w="2448"/>
            <w:shd w:val="clear" w:color="auto" w:fill="FFE69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— TOTAL</w:t>
            </w:r>
          </w:p>
        </w:tc>
        <w:tc>
          <w:tcPr>
            <w:tcW w:type="dxa" w:w="2016"/>
            <w:shd w:val="clear" w:color="auto" w:fill="FFE69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Revenue</w:t>
            </w:r>
          </w:p>
        </w:tc>
        <w:tc>
          <w:tcPr>
            <w:tcW w:type="dxa" w:w="2304"/>
            <w:shd w:val="clear" w:color="auto" w:fill="FFE69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35%</w:t>
            </w:r>
          </w:p>
        </w:tc>
        <w:tc>
          <w:tcPr>
            <w:tcW w:type="dxa" w:w="1296"/>
            <w:shd w:val="clear" w:color="auto" w:fill="FFE69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35% of P</w:t>
            </w:r>
          </w:p>
        </w:tc>
        <w:tc>
          <w:tcPr>
            <w:tcW w:type="dxa" w:w="1440"/>
            <w:shd w:val="clear" w:color="auto" w:fill="FFE69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35% of P</w:t>
            </w:r>
          </w:p>
        </w:tc>
        <w:tc>
          <w:tcPr>
            <w:tcW w:type="dxa" w:w="1296"/>
            <w:shd w:val="clear" w:color="auto" w:fill="FFE69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35% of P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4. Free Lots — Flat Convenience Fee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For parking lots with no base charge (P = 0), the % formulas above yield $0. AutoPark applies a flat convenience fee capped at $0.99 to cover the operational cost of the autonomous manoeuvre (V2X handshake, GNSS routing, RSU gate control). This keeps free-lot access affordable while recovering marginal costs.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Lot Type</w:t>
            </w:r>
          </w:p>
        </w:tc>
        <w:tc>
          <w:tcPr>
            <w:tcW w:type="dxa" w:w="316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User Pays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Lot Pays AutoPark</w:t>
            </w:r>
          </w:p>
        </w:tc>
        <w:tc>
          <w:tcPr>
            <w:tcW w:type="dxa" w:w="288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AutoPark Revenue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Paid lot (standard)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(1 + U(D))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L(D)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 × 35%</w:t>
            </w:r>
          </w:p>
        </w:tc>
      </w:tr>
      <w:tr>
        <w:tc>
          <w:tcPr>
            <w:tcW w:type="dxa" w:w="2304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Free lot</w:t>
            </w:r>
          </w:p>
        </w:tc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Flat fee: $0.49 – $0.99 (fixed)</w:t>
            </w:r>
          </w:p>
        </w:tc>
        <w:tc>
          <w:tcPr>
            <w:tcW w:type="dxa" w:w="259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</w:t>
            </w:r>
          </w:p>
        </w:tc>
        <w:tc>
          <w:tcPr>
            <w:tcW w:type="dxa" w:w="288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$0.49 – $0.99 per park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 w:val="0"/>
          <w:i/>
          <w:sz w:val="20"/>
        </w:rPr>
        <w:t>The flat fee for free lots is demand-independent and non-negotiable — it represents the cost of service, not a margin play. It also deters abuse (parking the car indefinitely in a free lot).</w:t>
      </w: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5. Worked Examples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All examples use a base price P set by the lot. AutoPark's formulas are applied on top. Payment processor fees (est. ~$0.50–$0.75 per transaction) are deducted from AutoPark's gross revenue to get net revenue — see Section 6.</w:t>
      </w:r>
    </w:p>
    <w:p>
      <w:pPr>
        <w:spacing w:before="120" w:after="120"/>
        <w:ind w:left="216"/>
        <w:shd w:val="clear" w:color="auto" w:fill="FCE4D6"/>
      </w:pPr>
      <w:r>
        <w:rPr>
          <w:rFonts w:ascii="Arial" w:hAnsi="Arial"/>
          <w:b/>
          <w:color w:val="1F3964"/>
          <w:sz w:val="20"/>
        </w:rPr>
        <w:t>Scenario: Downtown Toronto — Rogers Centre game night  —  D = 0.92  |  L = 16%  |  U = 19%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Amount (CAD)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Lot's base parking price (P)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$25.00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Lot's commission to AutoPark  (L × P)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−$4.05  (lot keeps $20.95)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User convenience fee  (U × P)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+$4.70  (user pays $29.70)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gross revenue  (L + U) × P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$8.75</w:t>
            </w:r>
          </w:p>
        </w:tc>
      </w:tr>
      <w:tr>
        <w:tc>
          <w:tcPr>
            <w:tcW w:type="dxa" w:w="504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Payment processing fee (est. Stripe)</w:t>
            </w:r>
          </w:p>
        </w:tc>
        <w:tc>
          <w:tcPr>
            <w:tcW w:type="dxa" w:w="432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−$1.16</w:t>
            </w:r>
          </w:p>
        </w:tc>
      </w:tr>
      <w:tr>
        <w:tc>
          <w:tcPr>
            <w:tcW w:type="dxa" w:w="504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NET revenue per transaction</w:t>
            </w:r>
          </w:p>
        </w:tc>
        <w:tc>
          <w:tcPr>
            <w:tcW w:type="dxa" w:w="432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$7.59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DEEAF1"/>
      </w:pPr>
      <w:r>
        <w:rPr>
          <w:rFonts w:ascii="Arial" w:hAnsi="Arial"/>
          <w:b/>
          <w:color w:val="1F3964"/>
          <w:sz w:val="20"/>
        </w:rPr>
        <w:t>Scenario: Pearson Airport — Standard Weekday  —  D = 0.55  |  L = 22%  |  U = 13%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Amount (CAD)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Lot's base parking price (P)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$20.00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Lot's commission to AutoPark  (L × P)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−$4.35  (lot keeps $15.65)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User convenience fee  (U × P)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+$2.65  (user pays $22.65)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gross revenue  (L + U) × P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$7.00</w:t>
            </w:r>
          </w:p>
        </w:tc>
      </w:tr>
      <w:tr>
        <w:tc>
          <w:tcPr>
            <w:tcW w:type="dxa" w:w="504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Payment processing fee (est. Stripe)</w:t>
            </w:r>
          </w:p>
        </w:tc>
        <w:tc>
          <w:tcPr>
            <w:tcW w:type="dxa" w:w="432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−$0.96</w:t>
            </w:r>
          </w:p>
        </w:tc>
      </w:tr>
      <w:tr>
        <w:tc>
          <w:tcPr>
            <w:tcW w:type="dxa" w:w="504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NET revenue per transaction</w:t>
            </w:r>
          </w:p>
        </w:tc>
        <w:tc>
          <w:tcPr>
            <w:tcW w:type="dxa" w:w="432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$6.04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  <w:shd w:val="clear" w:color="auto" w:fill="E2EFDA"/>
      </w:pPr>
      <w:r>
        <w:rPr>
          <w:rFonts w:ascii="Arial" w:hAnsi="Arial"/>
          <w:b/>
          <w:color w:val="1F3964"/>
          <w:sz w:val="20"/>
        </w:rPr>
        <w:t>Scenario: Suburban Mississauga Mall — Tuesday Noon  —  D = 0.18  |  L = 27%  |  U = 8%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Amount (CAD)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Lot's base parking price (P)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$8.00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Lot's commission to AutoPark  (L × P)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−$2.18  (lot keeps $5.82)</w:t>
            </w:r>
          </w:p>
        </w:tc>
      </w:tr>
      <w:tr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User convenience fee  (U × P)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+$0.62  (user pays $8.62)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gross revenue  (L + U) × P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$2.80</w:t>
            </w:r>
          </w:p>
        </w:tc>
      </w:tr>
      <w:tr>
        <w:tc>
          <w:tcPr>
            <w:tcW w:type="dxa" w:w="504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Payment processing fee (est. Stripe)</w:t>
            </w:r>
          </w:p>
        </w:tc>
        <w:tc>
          <w:tcPr>
            <w:tcW w:type="dxa" w:w="4320"/>
            <w:shd w:val="clear" w:color="auto" w:fill="FCE4D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−$0.55</w:t>
            </w:r>
          </w:p>
        </w:tc>
      </w:tr>
      <w:tr>
        <w:tc>
          <w:tcPr>
            <w:tcW w:type="dxa" w:w="504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AutoPark NET revenue per transaction</w:t>
            </w:r>
          </w:p>
        </w:tc>
        <w:tc>
          <w:tcPr>
            <w:tcW w:type="dxa" w:w="4320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$2.25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6. Full Revenue Streams</w:t>
      </w:r>
    </w:p>
    <w:p>
      <w:pPr>
        <w:spacing w:after="100"/>
      </w:pPr>
      <w:r>
        <w:rPr>
          <w:rFonts w:ascii="Arial" w:hAnsi="Arial"/>
          <w:b w:val="0"/>
          <w:i w:val="0"/>
          <w:sz w:val="20"/>
        </w:rPr>
        <w:t>AutoPark has three revenue streams. The transaction model above covers Stream 3. Streams 1 and 2 are volume/time-based and not demand-sensitive.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172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Who Pays</w:t>
            </w:r>
          </w:p>
        </w:tc>
        <w:tc>
          <w:tcPr>
            <w:tcW w:type="dxa" w:w="316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2592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008"/>
            <w:shd w:val="clear" w:color="auto" w:fill="1F396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1. OEM Licensing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Automotive OEMs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One-time licence fee per OEM to embed the AutoPark software module in their vehicle platform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TBD — suggest benchmarking against comparable ADAS feature licensing deals ($500k–$5M per OEM)</w:t>
            </w:r>
          </w:p>
        </w:tc>
        <w:tc>
          <w:tcPr>
            <w:tcW w:type="dxa" w:w="10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2. SaaS — Network Access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OEMs (per vehicle)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Annual subscription per AutoPark-enabled vehicle for V2X map updates, lot database access, and OTA firmware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TBD — suggest $50–$150 per vehicle per year; investigate comparable connected-car SaaS pricing</w:t>
            </w:r>
          </w:p>
        </w:tc>
        <w:tc>
          <w:tcPr>
            <w:tcW w:type="dxa" w:w="10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Open</w:t>
            </w:r>
          </w:p>
        </w:tc>
      </w:tr>
      <w:tr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3. Transaction Revenue</w:t>
            </w:r>
          </w:p>
        </w:tc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Lots + Users</w:t>
            </w:r>
          </w:p>
        </w:tc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35% of base lot price per transaction, dynamically split between lot commission (15–30%) and user fee (5–20%) via D</w:t>
            </w:r>
          </w:p>
        </w:tc>
        <w:tc>
          <w:tcPr>
            <w:tcW w:type="dxa" w:w="259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Net ~$3–$8 per transaction after payment processing (varies by ticket price and demand)</w:t>
            </w:r>
          </w:p>
        </w:tc>
        <w:tc>
          <w:tcPr>
            <w:tcW w:type="dxa" w:w="100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Defined ✅</w:t>
            </w:r>
          </w:p>
        </w:tc>
      </w:tr>
      <w:tr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4. Free-Lot Convenience Fee</w:t>
            </w:r>
          </w:p>
        </w:tc>
        <w:tc>
          <w:tcPr>
            <w:tcW w:type="dxa" w:w="172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Users only</w:t>
            </w:r>
          </w:p>
        </w:tc>
        <w:tc>
          <w:tcPr>
            <w:tcW w:type="dxa" w:w="316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Flat fee per autonomous park at a free lot</w:t>
            </w:r>
          </w:p>
        </w:tc>
        <w:tc>
          <w:tcPr>
            <w:tcW w:type="dxa" w:w="2592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$0.49 – $0.99 per use</w:t>
            </w:r>
          </w:p>
        </w:tc>
        <w:tc>
          <w:tcPr>
            <w:tcW w:type="dxa" w:w="1008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Defined ✅</w:t>
            </w:r>
          </w:p>
        </w:tc>
      </w:tr>
    </w:tbl>
    <w:p>
      <w:pPr>
        <w:spacing w:after="40"/>
      </w:pPr>
    </w:p>
    <w:p>
      <w:pPr>
        <w:spacing w:before="360" w:after="80"/>
        <w:pBdr>
          <w:bottom w:val="single" w:sz="12" w:space="2" w:color="1F3964"/>
        </w:pBdr>
      </w:pPr>
      <w:r>
        <w:rPr>
          <w:rFonts w:ascii="Arial" w:hAnsi="Arial"/>
          <w:b/>
          <w:color w:val="1F3964"/>
          <w:sz w:val="28"/>
        </w:rPr>
        <w:t>7. Open Questions — To Resolve Before Business Plan Submission</w:t>
      </w:r>
    </w:p>
    <w:p>
      <w:pPr>
        <w:spacing w:before="120" w:after="120"/>
        <w:ind w:left="216"/>
        <w:shd w:val="clear" w:color="auto" w:fill="FFF2CC"/>
      </w:pPr>
      <w:r>
        <w:rPr>
          <w:rFonts w:ascii="Arial" w:hAnsi="Arial"/>
          <w:b/>
          <w:color w:val="7F6000"/>
          <w:sz w:val="20"/>
        </w:rPr>
        <w:t>❓  OPEN QUESTION: OEM Licensing fee: What is the one-time licence fee charged to each OEM to embed AutoPark? Research comparable ADAS feature licences (e.g., Mobileye EyeQ pricing, HERE HD Maps licence). Suggest $1M–$5M per OEM platform as a starting point.</w:t>
      </w:r>
    </w:p>
    <w:p>
      <w:pPr>
        <w:spacing w:before="120" w:after="120"/>
        <w:ind w:left="216"/>
        <w:shd w:val="clear" w:color="auto" w:fill="FFF2CC"/>
      </w:pPr>
      <w:r>
        <w:rPr>
          <w:rFonts w:ascii="Arial" w:hAnsi="Arial"/>
          <w:b/>
          <w:color w:val="7F6000"/>
          <w:sz w:val="20"/>
        </w:rPr>
        <w:t>❓  OPEN QUESTION: SaaS pricing per vehicle: What is the annual per-vehicle fee for V2X network + map access? Benchmark against connected-car SaaS: OnStar ($15–25/mo), HERE Connected services, Bosch Connected Parking. Suggest $5–$15/vehicle/month = $60–$180/vehicle/year.</w:t>
      </w:r>
    </w:p>
    <w:p>
      <w:pPr>
        <w:spacing w:before="120" w:after="120"/>
        <w:ind w:left="216"/>
        <w:shd w:val="clear" w:color="auto" w:fill="FFF2CC"/>
      </w:pPr>
      <w:r>
        <w:rPr>
          <w:rFonts w:ascii="Arial" w:hAnsi="Arial"/>
          <w:b/>
          <w:color w:val="7F6000"/>
          <w:sz w:val="20"/>
        </w:rPr>
        <w:t>❓  OPEN QUESTION: Payment processor selection: Stripe vs. Adyen. Stripe standard: 2.9% + $0.30/txn. Adyen interchange++: lower at scale. Resolve once Gemini hardware research returns with market benchmarks.</w:t>
      </w:r>
    </w:p>
    <w:p>
      <w:pPr>
        <w:spacing w:before="120" w:after="120"/>
        <w:ind w:left="216"/>
        <w:shd w:val="clear" w:color="auto" w:fill="FFF2CC"/>
      </w:pPr>
      <w:r>
        <w:rPr>
          <w:rFonts w:ascii="Arial" w:hAnsi="Arial"/>
          <w:b/>
          <w:color w:val="7F6000"/>
          <w:sz w:val="20"/>
        </w:rPr>
        <w:t>❓  OPEN QUESTION: Commission floor/ceiling validation: The 15–30% lot commission range needs competitive benchmarking. SpotHero charges ~30–35% commission from lots. If AutoPark's range (15–30%) is always below SpotHero, this is a strong acquisition argument for lots. Confirm this with Gemini research.</w:t>
      </w:r>
    </w:p>
    <w:p>
      <w:pPr>
        <w:spacing w:before="120" w:after="120"/>
        <w:ind w:left="216"/>
        <w:shd w:val="clear" w:color="auto" w:fill="FFF2CC"/>
      </w:pPr>
      <w:r>
        <w:rPr>
          <w:rFonts w:ascii="Arial" w:hAnsi="Arial"/>
          <w:b/>
          <w:color w:val="7F6000"/>
          <w:sz w:val="20"/>
        </w:rPr>
        <w:t>❓  OPEN QUESTION: Continuous vs. event payment: Does the user pay upfront for a duration, or does the meter run continuously until the car is summoned? If continuous, how does the payment re-authorization work through the app? This affects the transaction fee model (one transaction vs. multiple small ones).</w:t>
      </w:r>
    </w:p>
    <w:p/>
    <w:p>
      <w:pPr>
        <w:spacing w:after="100"/>
      </w:pPr>
      <w:r>
        <w:rPr>
          <w:rFonts w:ascii="Arial" w:hAnsi="Arial"/>
          <w:b w:val="0"/>
          <w:i/>
          <w:sz w:val="20"/>
        </w:rPr>
        <w:t>Document prepared by: AutoPark MI Team — aUToronto  |  For internal use only  |  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