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Teacher Guide &amp; Answer Key</w:t>
      </w:r>
    </w:p>
    <w:p>
      <w:pPr>
        <w:jc w:val="center"/>
      </w:pPr>
      <w:r>
        <w:rPr>
          <w:b/>
          <w:color w:val="7D7A75"/>
          <w:sz w:val="24"/>
        </w:rPr>
        <w:t>TOEFL iBT 2026–Aligned Classroom Mock • Form A</w:t>
      </w:r>
    </w:p>
    <w:p/>
    <w:p>
      <w:pPr>
        <w:pStyle w:val="Heading1"/>
      </w:pPr>
      <w:r>
        <w:t>1. Kajian format resmi 2026</w:t>
      </w:r>
    </w:p>
    <w:p>
      <w:r>
        <w:t>Mulai 21 Januari 2026, TOEFL iBT mengukur empat keterampilan: Reading, Listening, Writing, dan Speaking. Reading dan Listening memakai desain adaptif dua tahap; Writing dan Speaking bersifat linear. Paket kelas ini mencakup semua keluarga tugas resmi, tetapi dipersingkat agar praktis untuk satu pertemuan.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E6E5E3"/>
          <w:left w:val="single" w:sz="4" w:color="E6E5E3"/>
          <w:bottom w:val="single" w:sz="4" w:color="E6E5E3"/>
          <w:right w:val="single" w:sz="4" w:color="E6E5E3"/>
          <w:insideH w:val="single" w:sz="4" w:color="E6E5E3"/>
          <w:insideV w:val="single" w:sz="4" w:color="E6E5E3"/>
        </w:tblBorders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2783DE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33"/>
            <w:shd w:fill="2783DE"/>
          </w:tcPr>
          <w:p>
            <w:r>
              <w:rPr>
                <w:b/>
                <w:color w:val="FFFFFF"/>
              </w:rPr>
              <w:t>Task families</w:t>
            </w:r>
          </w:p>
        </w:tc>
        <w:tc>
          <w:tcPr>
            <w:tcW w:type="dxa" w:w="2033"/>
            <w:shd w:fill="2783DE"/>
          </w:tcPr>
          <w:p>
            <w:r>
              <w:rPr>
                <w:b/>
                <w:color w:val="FFFFFF"/>
              </w:rPr>
              <w:t>Official items/time</w:t>
            </w:r>
          </w:p>
        </w:tc>
        <w:tc>
          <w:tcPr>
            <w:tcW w:type="dxa" w:w="2033"/>
            <w:shd w:fill="2783DE"/>
          </w:tcPr>
          <w:p>
            <w:r>
              <w:rPr>
                <w:b/>
                <w:color w:val="FFFFFF"/>
              </w:rPr>
              <w:t>Class items/time</w:t>
            </w:r>
          </w:p>
        </w:tc>
        <w:tc>
          <w:tcPr>
            <w:tcW w:type="dxa" w:w="2033"/>
            <w:shd w:fill="2783DE"/>
          </w:tcPr>
          <w:p>
            <w:r>
              <w:rPr>
                <w:b/>
                <w:color w:val="FFFFFF"/>
              </w:rPr>
              <w:t>Class points</w:t>
            </w:r>
          </w:p>
        </w:tc>
      </w:tr>
      <w:tr>
        <w:tc>
          <w:tcPr>
            <w:tcW w:type="dxa" w:w="2033"/>
          </w:tcPr>
          <w:p>
            <w:r>
              <w:t>Reading</w:t>
            </w:r>
          </w:p>
        </w:tc>
        <w:tc>
          <w:tcPr>
            <w:tcW w:type="dxa" w:w="2033"/>
          </w:tcPr>
          <w:p>
            <w:r>
              <w:t>Complete the Words; Daily Life; Academic Passage</w:t>
            </w:r>
          </w:p>
        </w:tc>
        <w:tc>
          <w:tcPr>
            <w:tcW w:type="dxa" w:w="2033"/>
          </w:tcPr>
          <w:p>
            <w:r>
              <w:t>50 / ~30 min</w:t>
            </w:r>
          </w:p>
        </w:tc>
        <w:tc>
          <w:tcPr>
            <w:tcW w:type="dxa" w:w="2033"/>
          </w:tcPr>
          <w:p>
            <w:r>
              <w:t>25 / 30 min</w:t>
            </w:r>
          </w:p>
        </w:tc>
        <w:tc>
          <w:tcPr>
            <w:tcW w:type="dxa" w:w="2033"/>
          </w:tcPr>
          <w:p>
            <w:r>
              <w:t>25</w:t>
            </w:r>
          </w:p>
        </w:tc>
      </w:tr>
      <w:tr>
        <w:tc>
          <w:tcPr>
            <w:tcW w:type="dxa" w:w="2033"/>
          </w:tcPr>
          <w:p>
            <w:r>
              <w:t>Listening</w:t>
            </w:r>
          </w:p>
        </w:tc>
        <w:tc>
          <w:tcPr>
            <w:tcW w:type="dxa" w:w="2033"/>
          </w:tcPr>
          <w:p>
            <w:r>
              <w:t>Response; Conversation; Announcement; Academic Talk</w:t>
            </w:r>
          </w:p>
        </w:tc>
        <w:tc>
          <w:tcPr>
            <w:tcW w:type="dxa" w:w="2033"/>
          </w:tcPr>
          <w:p>
            <w:r>
              <w:t>47 / ~29 min</w:t>
            </w:r>
          </w:p>
        </w:tc>
        <w:tc>
          <w:tcPr>
            <w:tcW w:type="dxa" w:w="2033"/>
          </w:tcPr>
          <w:p>
            <w:r>
              <w:t>20 / 25 min</w:t>
            </w:r>
          </w:p>
        </w:tc>
        <w:tc>
          <w:tcPr>
            <w:tcW w:type="dxa" w:w="2033"/>
          </w:tcPr>
          <w:p>
            <w:r>
              <w:t>25</w:t>
            </w:r>
          </w:p>
        </w:tc>
      </w:tr>
      <w:tr>
        <w:tc>
          <w:tcPr>
            <w:tcW w:type="dxa" w:w="2033"/>
          </w:tcPr>
          <w:p>
            <w:r>
              <w:t>Writing</w:t>
            </w:r>
          </w:p>
        </w:tc>
        <w:tc>
          <w:tcPr>
            <w:tcW w:type="dxa" w:w="2033"/>
          </w:tcPr>
          <w:p>
            <w:r>
              <w:t>Build a Sentence; Email; Academic Discussion</w:t>
            </w:r>
          </w:p>
        </w:tc>
        <w:tc>
          <w:tcPr>
            <w:tcW w:type="dxa" w:w="2033"/>
          </w:tcPr>
          <w:p>
            <w:r>
              <w:t>12 / ~23 min</w:t>
            </w:r>
          </w:p>
        </w:tc>
        <w:tc>
          <w:tcPr>
            <w:tcW w:type="dxa" w:w="2033"/>
          </w:tcPr>
          <w:p>
            <w:r>
              <w:t>12 / 23 min</w:t>
            </w:r>
          </w:p>
        </w:tc>
        <w:tc>
          <w:tcPr>
            <w:tcW w:type="dxa" w:w="2033"/>
          </w:tcPr>
          <w:p>
            <w:r>
              <w:t>25</w:t>
            </w:r>
          </w:p>
        </w:tc>
      </w:tr>
      <w:tr>
        <w:tc>
          <w:tcPr>
            <w:tcW w:type="dxa" w:w="2033"/>
          </w:tcPr>
          <w:p>
            <w:r>
              <w:t>Speaking</w:t>
            </w:r>
          </w:p>
        </w:tc>
        <w:tc>
          <w:tcPr>
            <w:tcW w:type="dxa" w:w="2033"/>
          </w:tcPr>
          <w:p>
            <w:r>
              <w:t>Listen &amp; Repeat; Interview</w:t>
            </w:r>
          </w:p>
        </w:tc>
        <w:tc>
          <w:tcPr>
            <w:tcW w:type="dxa" w:w="2033"/>
          </w:tcPr>
          <w:p>
            <w:r>
              <w:t>11 / ~8 min</w:t>
            </w:r>
          </w:p>
        </w:tc>
        <w:tc>
          <w:tcPr>
            <w:tcW w:type="dxa" w:w="2033"/>
          </w:tcPr>
          <w:p>
            <w:r>
              <w:t>11 / ~12 min</w:t>
            </w:r>
          </w:p>
        </w:tc>
        <w:tc>
          <w:tcPr>
            <w:tcW w:type="dxa" w:w="2033"/>
          </w:tcPr>
          <w:p>
            <w:r>
              <w:t>25</w:t>
            </w:r>
          </w:p>
        </w:tc>
      </w:tr>
    </w:tbl>
    <w:p>
      <w:pPr>
        <w:pStyle w:val="Heading2"/>
      </w:pPr>
      <w:r>
        <w:t>Catatan istilah</w:t>
      </w:r>
    </w:p>
    <w:p>
      <w:r>
        <w:t>Istilah “compertation/comprehension” bukan section terpisah pada TOEFL iBT 2026. Comprehension dinilai terutama melalui Reading dan Listening. Komponen keempat yang benar adalah Speaking.</w:t>
      </w:r>
    </w:p>
    <w:p>
      <w:pPr>
        <w:pStyle w:val="Heading1"/>
      </w:pPr>
      <w:r>
        <w:t>2. Tujuan dan batas penggunaan</w:t>
      </w:r>
    </w:p>
    <w:p>
      <w:r>
        <w:t>Gunakan paket ini untuk diagnosis, latihan format, atau tes kelas. Jangan menyebut skor kelas sebagai skor TOEFL resmi. Semua stimulus dan soal dibuat khusus untuk paket ini; tidak menyalin butir ETS. Karena tes resmi adaptif dan memakai sistem penskoran terkalibrasi, konversi kelas tidak dapat memprediksi band TOEFL 1–6 secara presisi.</w:t>
      </w:r>
    </w:p>
    <w:p>
      <w:pPr>
        <w:pStyle w:val="Heading1"/>
      </w:pPr>
      <w:r>
        <w:t>3. Administrasi yang disarankan</w:t>
      </w:r>
    </w:p>
    <w:p>
      <w:pPr>
        <w:pStyle w:val="ListBullet"/>
      </w:pPr>
      <w:r>
        <w:t>Cetak Student Test Booklet untuk siswa; simpan Teacher Guide dan Audio Script sebagai dokumen rahasia.</w:t>
      </w:r>
    </w:p>
    <w:p>
      <w:pPr>
        <w:pStyle w:val="ListBullet"/>
      </w:pPr>
      <w:r>
        <w:t>Reading 30 menit → Listening 25 menit → Writing 23 menit → Speaking bergiliran/rekaman sekitar 12 menit per siswa.</w:t>
      </w:r>
    </w:p>
    <w:p>
      <w:pPr>
        <w:pStyle w:val="ListBullet"/>
      </w:pPr>
      <w:r>
        <w:t>Untuk Listening, guru membaca setiap stimulus sekali dengan kecepatan alami. Jangan mengulang kecuali ada gangguan teknis.</w:t>
      </w:r>
    </w:p>
    <w:p>
      <w:pPr>
        <w:pStyle w:val="ListBullet"/>
      </w:pPr>
      <w:r>
        <w:t>Untuk Speaking, rekam respons bila memungkinkan agar penilaian dapat diperiksa kembali.</w:t>
      </w:r>
    </w:p>
    <w:p>
      <w:pPr>
        <w:pStyle w:val="ListBullet"/>
      </w:pPr>
      <w:r>
        <w:t>Tidak ada kamus, penerjemah, atau perangkat bantuan menulis.</w:t>
      </w:r>
    </w:p>
    <w:p>
      <w:pPr>
        <w:pStyle w:val="Heading1"/>
      </w:pPr>
      <w:r>
        <w:t>4. Answer key — Reading</w:t>
      </w:r>
    </w:p>
    <w:p>
      <w:r>
        <w:t>1–10 missing letters: 1 orb, 2 uce, 3 ering, 4 ect, 5 eral, 6 ortunities, 7 ective, 8 lier, 9 dback, 10 ain</w:t>
      </w:r>
    </w:p>
    <w:p>
      <w:r>
        <w:t>11–25: 11 B, 12 C, 13 A, 14 C, 15 B, 16 D, 17 A, 18 B, 19 B, 20 A, 21 C, 22 B, 23 A, 24 C, 25 B</w:t>
      </w:r>
    </w:p>
    <w:p>
      <w:pPr>
        <w:pStyle w:val="Heading1"/>
      </w:pPr>
      <w:r>
        <w:t>5. Answer key — Listening</w:t>
      </w:r>
    </w:p>
    <w:p>
      <w:r>
        <w:t>1 A, 2 A, 3 A, 4 A, 5 A, 6 B, 7 A, 8 D, 9 A, 10 B, 11 B, 12 C, 13 C, 14 B, 15 A, 16 B, 17 B, 18 C, 19 C, 20 A</w:t>
      </w:r>
    </w:p>
    <w:p>
      <w:pPr>
        <w:pStyle w:val="Heading1"/>
      </w:pPr>
      <w:r>
        <w:t>6. Answer key — Build a Sentence</w:t>
      </w:r>
    </w:p>
    <w:p>
      <w:r>
        <w:t>1. The workshop was postponed because of heavy rain.</w:t>
      </w:r>
    </w:p>
    <w:p>
      <w:r>
        <w:t>2. The researcher checked whether the data are complete.</w:t>
      </w:r>
    </w:p>
    <w:p>
      <w:r>
        <w:t>3. Students must obtain their adviser’s signature before submitting the form.</w:t>
      </w:r>
    </w:p>
    <w:p>
      <w:r>
        <w:t>4. The library has received the new journals that were requested last month.</w:t>
      </w:r>
    </w:p>
    <w:p>
      <w:r>
        <w:t>5. Please inform the instructor if you need additional time.</w:t>
      </w:r>
    </w:p>
    <w:p>
      <w:r>
        <w:t>6. Although the procedure was followed carefully, the experiment failed.</w:t>
      </w:r>
    </w:p>
    <w:p>
      <w:r>
        <w:t>7. The lecture explained how urban noise affects birds.</w:t>
      </w:r>
    </w:p>
    <w:p>
      <w:r>
        <w:t>8. Reusing equipment not only reduces waste but also saves money.</w:t>
      </w:r>
    </w:p>
    <w:p>
      <w:r>
        <w:t>9. Do you know what time the museum closes?</w:t>
      </w:r>
    </w:p>
    <w:p>
      <w:r>
        <w:t>10. Students who attend the review session may ask questions about the final exam.</w:t>
      </w:r>
    </w:p>
    <w:p>
      <w:pPr>
        <w:pStyle w:val="Heading1"/>
      </w:pPr>
      <w:r>
        <w:t>7. Rubrik Writing</w:t>
      </w:r>
    </w:p>
    <w:p>
      <w:r>
        <w:t>Build a Sentence: 1 poin per jawaban yang lengkap, gramatikal, dan mempertahankan semua segmen; kapitalisasi/tanda baca kecil tidak mengurangi poin jika struktur jelas.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6E5E3"/>
          <w:left w:val="single" w:sz="4" w:color="E6E5E3"/>
          <w:bottom w:val="single" w:sz="4" w:color="E6E5E3"/>
          <w:right w:val="single" w:sz="4" w:color="E6E5E3"/>
          <w:insideH w:val="single" w:sz="4" w:color="E6E5E3"/>
          <w:insideV w:val="single" w:sz="4" w:color="E6E5E3"/>
        </w:tblBorders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2783DE"/>
          </w:tcPr>
          <w:p>
            <w:r>
              <w:rPr>
                <w:color w:val="FFFFFF"/>
              </w:rPr>
              <w:t>Task</w:t>
            </w:r>
          </w:p>
        </w:tc>
        <w:tc>
          <w:tcPr>
            <w:tcW w:type="dxa" w:w="2033"/>
            <w:shd w:fill="2783DE"/>
          </w:tcPr>
          <w:p>
            <w:r>
              <w:rPr>
                <w:color w:val="FFFFFF"/>
              </w:rPr>
              <w:t>Content/Purpose</w:t>
            </w:r>
          </w:p>
        </w:tc>
        <w:tc>
          <w:tcPr>
            <w:tcW w:type="dxa" w:w="2033"/>
            <w:shd w:fill="2783DE"/>
          </w:tcPr>
          <w:p>
            <w:r>
              <w:rPr>
                <w:color w:val="FFFFFF"/>
              </w:rPr>
              <w:t>Organization</w:t>
            </w:r>
          </w:p>
        </w:tc>
        <w:tc>
          <w:tcPr>
            <w:tcW w:type="dxa" w:w="2033"/>
            <w:shd w:fill="2783DE"/>
          </w:tcPr>
          <w:p>
            <w:r>
              <w:rPr>
                <w:color w:val="FFFFFF"/>
              </w:rPr>
              <w:t>Language</w:t>
            </w:r>
          </w:p>
        </w:tc>
        <w:tc>
          <w:tcPr>
            <w:tcW w:type="dxa" w:w="2033"/>
            <w:shd w:fill="2783DE"/>
          </w:tcPr>
          <w:p>
            <w:r>
              <w:rPr>
                <w:color w:val="FFFFFF"/>
              </w:rPr>
              <w:t>Total</w:t>
            </w:r>
          </w:p>
        </w:tc>
      </w:tr>
      <w:tr>
        <w:tc>
          <w:tcPr>
            <w:tcW w:type="dxa" w:w="2033"/>
          </w:tcPr>
          <w:p>
            <w:r>
              <w:t>Email</w:t>
            </w:r>
          </w:p>
        </w:tc>
        <w:tc>
          <w:tcPr>
            <w:tcW w:type="dxa" w:w="2033"/>
          </w:tcPr>
          <w:p>
            <w:r>
              <w:t>0–4</w:t>
            </w:r>
          </w:p>
        </w:tc>
        <w:tc>
          <w:tcPr>
            <w:tcW w:type="dxa" w:w="2033"/>
          </w:tcPr>
          <w:p>
            <w:r>
              <w:t>0–2</w:t>
            </w:r>
          </w:p>
        </w:tc>
        <w:tc>
          <w:tcPr>
            <w:tcW w:type="dxa" w:w="2033"/>
          </w:tcPr>
          <w:p>
            <w:r>
              <w:t>0–4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Discussion</w:t>
            </w:r>
          </w:p>
        </w:tc>
        <w:tc>
          <w:tcPr>
            <w:tcW w:type="dxa" w:w="2033"/>
          </w:tcPr>
          <w:p>
            <w:r>
              <w:t>0–4</w:t>
            </w:r>
          </w:p>
        </w:tc>
        <w:tc>
          <w:tcPr>
            <w:tcW w:type="dxa" w:w="2033"/>
          </w:tcPr>
          <w:p>
            <w:r>
              <w:t>0–2</w:t>
            </w:r>
          </w:p>
        </w:tc>
        <w:tc>
          <w:tcPr>
            <w:tcW w:type="dxa" w:w="2033"/>
          </w:tcPr>
          <w:p>
            <w:r>
              <w:t>0–4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</w:tbl>
    <w:p>
      <w:r>
        <w:t>Content/Purpose (0–4): 4 = semua tuntutan terpenuhi, relevan, detail memadai; 3 = hampir lengkap; 2 = sebagian/terbatas; 1 = sangat minim; 0 = kosong/tidak terkait. Organization (0–2): 2 = alur jelas dan kohesif; 1 = sebagian jelas; 0 = sulit diikuti. Language (0–4): 4 = ragam struktur/kosakata efektif dengan kesalahan kecil; 3 = umumnya jelas; 2 = keterbatasan sering terlihat; 1 = kesalahan menghambat; 0 = makna tidak dapat dinilai.</w:t>
      </w:r>
    </w:p>
    <w:p>
      <w:r>
        <w:t>Raw Writing = Build Sentence (10) + Email (10) + Discussion (10) = 30. Nilai section = raw ÷ 30 × 25.</w:t>
      </w:r>
    </w:p>
    <w:p>
      <w:pPr>
        <w:pStyle w:val="Heading1"/>
      </w:pPr>
      <w:r>
        <w:t>8. Rubrik Speaking</w:t>
      </w:r>
    </w:p>
    <w:p>
      <w:r>
        <w:t>Listen and Repeat — tiap item 0–2: 2 = isi hampir/sepenuhnya akurat dan mudah dipahami; 1 = sebagian besar makna tersampaikan tetapi ada penghilangan/perubahan atau masalah intelligibility; 0 = sangat sedikit isi benar/kosong.</w:t>
      </w:r>
    </w:p>
    <w:p>
      <w:r>
        <w:t>Interview — tiap item 0–4: 4 = relevan, berkembang, lancar, mudah dipahami, grammar/vocabulary memadai; 3 = jelas tetapi elaborasi atau kontrol bahasa tidak konsisten; 2 = respons terbatas dengan jeda/kesalahan yang kadang menghambat; 1 = sangat terbatas dan sering sulit dipahami; 0 = kosong/tidak terkait.</w:t>
      </w:r>
    </w:p>
    <w:p>
      <w:r>
        <w:t>Raw Speaking = Repeat (14) + Interview (16) = 30. Nilai section = raw ÷ 30 × 25.</w:t>
      </w:r>
    </w:p>
    <w:p>
      <w:pPr>
        <w:pStyle w:val="Heading1"/>
      </w:pPr>
      <w:r>
        <w:t>9. Rekap skor kelas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6E5E3"/>
          <w:left w:val="single" w:sz="4" w:color="E6E5E3"/>
          <w:bottom w:val="single" w:sz="4" w:color="E6E5E3"/>
          <w:right w:val="single" w:sz="4" w:color="E6E5E3"/>
          <w:insideH w:val="single" w:sz="4" w:color="E6E5E3"/>
          <w:insideV w:val="single" w:sz="4" w:color="E6E5E3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2783DE"/>
          </w:tcPr>
          <w:p>
            <w:r>
              <w:rPr>
                <w:color w:val="FFFFFF"/>
              </w:rPr>
              <w:t>Section</w:t>
            </w:r>
          </w:p>
        </w:tc>
        <w:tc>
          <w:tcPr>
            <w:tcW w:type="dxa" w:w="2541"/>
            <w:shd w:fill="2783DE"/>
          </w:tcPr>
          <w:p>
            <w:r>
              <w:rPr>
                <w:color w:val="FFFFFF"/>
              </w:rPr>
              <w:t>Raw</w:t>
            </w:r>
          </w:p>
        </w:tc>
        <w:tc>
          <w:tcPr>
            <w:tcW w:type="dxa" w:w="2541"/>
            <w:shd w:fill="2783DE"/>
          </w:tcPr>
          <w:p>
            <w:r>
              <w:rPr>
                <w:color w:val="FFFFFF"/>
              </w:rPr>
              <w:t>Conversion</w:t>
            </w:r>
          </w:p>
        </w:tc>
        <w:tc>
          <w:tcPr>
            <w:tcW w:type="dxa" w:w="2541"/>
            <w:shd w:fill="2783DE"/>
          </w:tcPr>
          <w:p>
            <w:r>
              <w:rPr>
                <w:color w:val="FFFFFF"/>
              </w:rPr>
              <w:t>Max</w:t>
            </w:r>
          </w:p>
        </w:tc>
      </w:tr>
      <w:tr>
        <w:tc>
          <w:tcPr>
            <w:tcW w:type="dxa" w:w="2541"/>
          </w:tcPr>
          <w:p>
            <w:r>
              <w:t>Reading</w:t>
            </w:r>
          </w:p>
        </w:tc>
        <w:tc>
          <w:tcPr>
            <w:tcW w:type="dxa" w:w="2541"/>
          </w:tcPr>
          <w:p>
            <w:r>
              <w:t>__/25</w:t>
            </w:r>
          </w:p>
        </w:tc>
        <w:tc>
          <w:tcPr>
            <w:tcW w:type="dxa" w:w="2541"/>
          </w:tcPr>
          <w:p>
            <w:r>
              <w:t>langsung</w:t>
            </w:r>
          </w:p>
        </w:tc>
        <w:tc>
          <w:tcPr>
            <w:tcW w:type="dxa" w:w="2541"/>
          </w:tcPr>
          <w:p>
            <w:r>
              <w:t>25</w:t>
            </w:r>
          </w:p>
        </w:tc>
      </w:tr>
      <w:tr>
        <w:tc>
          <w:tcPr>
            <w:tcW w:type="dxa" w:w="2541"/>
          </w:tcPr>
          <w:p>
            <w:r>
              <w:t>Listening</w:t>
            </w:r>
          </w:p>
        </w:tc>
        <w:tc>
          <w:tcPr>
            <w:tcW w:type="dxa" w:w="2541"/>
          </w:tcPr>
          <w:p>
            <w:r>
              <w:t>__/20</w:t>
            </w:r>
          </w:p>
        </w:tc>
        <w:tc>
          <w:tcPr>
            <w:tcW w:type="dxa" w:w="2541"/>
          </w:tcPr>
          <w:p>
            <w:r>
              <w:t>raw ÷ 20 × 25</w:t>
            </w:r>
          </w:p>
        </w:tc>
        <w:tc>
          <w:tcPr>
            <w:tcW w:type="dxa" w:w="2541"/>
          </w:tcPr>
          <w:p>
            <w:r>
              <w:t>25</w:t>
            </w:r>
          </w:p>
        </w:tc>
      </w:tr>
      <w:tr>
        <w:tc>
          <w:tcPr>
            <w:tcW w:type="dxa" w:w="2541"/>
          </w:tcPr>
          <w:p>
            <w:r>
              <w:t>Writing</w:t>
            </w:r>
          </w:p>
        </w:tc>
        <w:tc>
          <w:tcPr>
            <w:tcW w:type="dxa" w:w="2541"/>
          </w:tcPr>
          <w:p>
            <w:r>
              <w:t>__/30</w:t>
            </w:r>
          </w:p>
        </w:tc>
        <w:tc>
          <w:tcPr>
            <w:tcW w:type="dxa" w:w="2541"/>
          </w:tcPr>
          <w:p>
            <w:r>
              <w:t>raw ÷ 30 × 25</w:t>
            </w:r>
          </w:p>
        </w:tc>
        <w:tc>
          <w:tcPr>
            <w:tcW w:type="dxa" w:w="2541"/>
          </w:tcPr>
          <w:p>
            <w:r>
              <w:t>25</w:t>
            </w:r>
          </w:p>
        </w:tc>
      </w:tr>
      <w:tr>
        <w:tc>
          <w:tcPr>
            <w:tcW w:type="dxa" w:w="2541"/>
          </w:tcPr>
          <w:p>
            <w:r>
              <w:t>Speaking</w:t>
            </w:r>
          </w:p>
        </w:tc>
        <w:tc>
          <w:tcPr>
            <w:tcW w:type="dxa" w:w="2541"/>
          </w:tcPr>
          <w:p>
            <w:r>
              <w:t>__/30</w:t>
            </w:r>
          </w:p>
        </w:tc>
        <w:tc>
          <w:tcPr>
            <w:tcW w:type="dxa" w:w="2541"/>
          </w:tcPr>
          <w:p>
            <w:r>
              <w:t>raw ÷ 30 × 25</w:t>
            </w:r>
          </w:p>
        </w:tc>
        <w:tc>
          <w:tcPr>
            <w:tcW w:type="dxa" w:w="2541"/>
          </w:tcPr>
          <w:p>
            <w:r>
              <w:t>25</w:t>
            </w:r>
          </w:p>
        </w:tc>
      </w:tr>
    </w:tbl>
    <w:p>
      <w:r>
        <w:t>Interpretasi internal (bukan band TOEFL): 85–100 sangat siap; 70–84 cukup siap; 55–69 perlu penguatan terarah; &lt;55 perlu fondasi. Gunakan profil per section, bukan total saja, untuk merencanakan remediasi.</w:t>
      </w:r>
    </w:p>
    <w:p>
      <w:pPr>
        <w:pStyle w:val="Heading1"/>
      </w:pPr>
      <w:r>
        <w:t>10. Analisis diagnostik</w:t>
      </w:r>
    </w:p>
    <w:p>
      <w:pPr>
        <w:pStyle w:val="ListBullet"/>
      </w:pPr>
      <w:r>
        <w:t>Reading: pisahkan kesalahan vocabulary/form (Q1–10), daily-life comprehension (Q11–17), dan academic comprehension (Q18–25).</w:t>
      </w:r>
    </w:p>
    <w:p>
      <w:pPr>
        <w:pStyle w:val="ListBullet"/>
      </w:pPr>
      <w:r>
        <w:t>Listening: tandai kelemahan respons pragmatik (Q1–5), percakapan (Q6–10), pengumuman (Q11–14), atau academic talk (Q15–20).</w:t>
      </w:r>
    </w:p>
    <w:p>
      <w:pPr>
        <w:pStyle w:val="ListBullet"/>
      </w:pPr>
      <w:r>
        <w:t>Writing: bedakan masalah struktur kalimat, pemenuhan tujuan, organisasi, dan kendali bahasa.</w:t>
      </w:r>
    </w:p>
    <w:p>
      <w:pPr>
        <w:pStyle w:val="ListBullet"/>
      </w:pPr>
      <w:r>
        <w:t>Speaking: bedakan akurasi pengulangan/intelligibility dari kemampuan mengembangkan jawaban spontan.</w:t>
      </w:r>
    </w:p>
    <w:p>
      <w:pPr>
        <w:pStyle w:val="Heading1"/>
      </w:pPr>
      <w:r>
        <w:t>11. Rencana tindak lanjut 2 pertemuan</w:t>
      </w:r>
    </w:p>
    <w:p>
      <w:r>
        <w:t>Pertemuan 1: ulas pola kesalahan berdasarkan task family; siswa memperbaiki tiga jawaban Reading/Listening dengan bukti dari teks atau audio. Pertemuan 2: lakukan ulang satu Email dan dua Interview prompts setelah umpan balik; bandingkan skor rubrik sebelum/sesudah.</w:t>
      </w:r>
    </w:p>
    <w:p>
      <w:pPr>
        <w:pStyle w:val="Heading1"/>
      </w:pPr>
      <w:r>
        <w:t>12. Sumber acuan resmi</w:t>
      </w:r>
    </w:p>
    <w:p>
      <w:pPr>
        <w:pStyle w:val="ListBullet"/>
      </w:pPr>
      <w:r>
        <w:t>ETS TOEFL main page: https://www.ets.org/toefl.html</w:t>
      </w:r>
    </w:p>
    <w:p>
      <w:pPr>
        <w:pStyle w:val="ListBullet"/>
      </w:pPr>
      <w:r>
        <w:t>ETS Test Content and Structure (post–21 Jan 2026): https://www.ets.org/toefl/test-takers/ibt/about/content.html</w:t>
      </w:r>
    </w:p>
    <w:p>
      <w:pPr>
        <w:pStyle w:val="ListBullet"/>
      </w:pPr>
      <w:r>
        <w:t>ETS 2026 Test Blueprint and Specifications: https://www.eu.ets.org/pdfs/toefl/toefl-ibt-test-specifications-2026.pdf</w:t>
      </w:r>
    </w:p>
    <w:p>
      <w:pPr>
        <w:pStyle w:val="ListBullet"/>
      </w:pPr>
      <w:r>
        <w:t>ETS score guidance: https://www.ets.org/toefl/test-takers/ibt/scores/understand-scores.html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D7A75"/>
        <w:sz w:val="16"/>
      </w:rPr>
      <w:t xml:space="preserve">Materi orisinal untuk penggunaan kelas • Bukan tes resmi ETS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D7A75"/>
        <w:sz w:val="16"/>
      </w:rPr>
      <w:t>Teacher Guide &amp; Answer Key —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2C2C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783D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C2C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C2C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783D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