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โรงพยาบาลวังน้ำเย็น จังหวัดสระแก้ว</w:t>
            </w:r>
            <w:r>
              <w:br/>
            </w:r>
            <w:r>
              <w:rPr>
                <w:rFonts w:ascii="TH SarabunPSK" w:cs="TH SarabunPSK" w:eastAsia="TH SarabunPSK" w:hAnsi="TH SarabunPSK"/>
                <w:color w:val="CCE0FF"/>
                <w:sz w:val="24"/>
                <w:szCs w:val="24"/>
              </w:rPr>
              <w:t xml:space="preserve">กลุ่มงานเภสัชกรรมและคุ้มครองผู้บริโภค</w:t>
            </w:r>
          </w:p>
        </w:tc>
      </w:tr>
    </w:tbl>
    <w:p>
      <w:pPr>
        <w:spacing w:before="6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2"/>
              <w:left w:val="nil" w:color="FFFFFF" w:sz="0"/>
              <w:bottom w:val="single" w:color="2E5FA3" w:sz="12"/>
              <w:right w:val="nil" w:color="FFFFFF" w:sz="0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72"/>
                <w:szCs w:val="72"/>
              </w:rPr>
              <w:t xml:space="preserve">SP-003</w:t>
            </w:r>
          </w:p>
        </w:tc>
      </w:tr>
    </w:tbl>
    <w:p>
      <w:pPr>
        <w:spacing w:before="400" w:after="0"/>
      </w:pPr>
    </w:p>
    <w:p>
      <w:pPr>
        <w:spacing w:before="0" w:after="0" w:line="276"/>
        <w:jc w:val="center"/>
      </w:pPr>
      <w:r>
        <w:rPr>
          <w:rFonts w:ascii="TH SarabunPSK" w:cs="TH SarabunPSK" w:eastAsia="TH SarabunPSK" w:hAnsi="TH SarabunPSK"/>
          <w:b/>
          <w:bCs/>
          <w:color w:val="1B3A6B"/>
          <w:sz w:val="48"/>
          <w:szCs w:val="48"/>
        </w:rPr>
        <w:t xml:space="preserve">ขั้นตอนการจัดยา (แบบละเอียด)</w:t>
      </w:r>
    </w:p>
    <w:p>
      <w:pPr>
        <w:spacing w:before="0" w:after="0" w:line="276"/>
        <w:jc w:val="center"/>
      </w:pPr>
      <w:r>
        <w:rPr>
          <w:rFonts w:ascii="TH SarabunPSK" w:cs="TH SarabunPSK" w:eastAsia="TH SarabunPSK" w:hAnsi="TH SarabunPSK"/>
          <w:color w:val="6B7A99"/>
          <w:sz w:val="28"/>
          <w:szCs w:val="28"/>
        </w:rPr>
        <w:t xml:space="preserve">Detailed Dispensing Procedure</w:t>
      </w:r>
    </w:p>
    <w:p>
      <w:pPr>
        <w:spacing w:before="600" w:after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20"/>
                <w:szCs w:val="20"/>
              </w:rPr>
              <w:t xml:space="preserve">รหัสเอกสาร</w:t>
            </w:r>
          </w:p>
        </w:tc>
        <w:tc>
          <w:tcPr>
            <w:tcW w:type="dxa" w:w="3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20"/>
                <w:szCs w:val="20"/>
              </w:rPr>
              <w:t xml:space="preserve">SP-003</w:t>
            </w:r>
          </w:p>
        </w:tc>
      </w:tr>
      <w:tr>
        <w:tc>
          <w:tcPr>
            <w:tcW w:type="dxa" w:w="3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20"/>
                <w:szCs w:val="20"/>
              </w:rPr>
              <w:t xml:space="preserve">ฉบับที่</w:t>
            </w:r>
          </w:p>
        </w:tc>
        <w:tc>
          <w:tcPr>
            <w:tcW w:type="dxa" w:w="3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20"/>
                <w:szCs w:val="20"/>
              </w:rPr>
              <w:t xml:space="preserve">วันที่บังคับใช้</w:t>
            </w:r>
          </w:p>
        </w:tc>
        <w:tc>
          <w:tcPr>
            <w:tcW w:type="dxa" w:w="3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20"/>
                <w:szCs w:val="20"/>
              </w:rPr>
              <w:t xml:space="preserve">______ / ______ / ______</w:t>
            </w:r>
          </w:p>
        </w:tc>
      </w:tr>
      <w:tr>
        <w:tc>
          <w:tcPr>
            <w:tcW w:type="dxa" w:w="3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20"/>
                <w:szCs w:val="20"/>
              </w:rPr>
              <w:t xml:space="preserve">ทบทวนครั้งต่อไป</w:t>
            </w:r>
          </w:p>
        </w:tc>
        <w:tc>
          <w:tcPr>
            <w:tcW w:type="dxa" w:w="3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20"/>
                <w:szCs w:val="20"/>
              </w:rPr>
              <w:t xml:space="preserve">______ / ______ / ______</w:t>
            </w:r>
          </w:p>
        </w:tc>
      </w:tr>
      <w:tr>
        <w:tc>
          <w:tcPr>
            <w:tcW w:type="dxa" w:w="3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20"/>
                <w:szCs w:val="20"/>
              </w:rPr>
              <w:t xml:space="preserve">จำนวนหน้า</w:t>
            </w:r>
          </w:p>
        </w:tc>
        <w:tc>
          <w:tcPr>
            <w:tcW w:type="dxa" w:w="3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20"/>
                <w:szCs w:val="20"/>
              </w:rPr>
              <w:t xml:space="preserve">ตามเอกสาร</w:t>
            </w:r>
          </w:p>
        </w:tc>
      </w:tr>
    </w:tbl>
    <w:p>
      <w:pPr>
        <w:spacing w:before="6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560"/>
        <w:gridCol w:w="2000"/>
      </w:tblGrid>
      <w:tr>
        <w:tc>
          <w:tcPr>
            <w:tcW w:type="dxa" w:w="2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ชื่อ-นามสกุล</w:t>
            </w:r>
          </w:p>
        </w:tc>
        <w:tc>
          <w:tcPr>
            <w:tcW w:type="dxa" w:w="2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ลงนาม</w:t>
            </w:r>
          </w:p>
        </w:tc>
        <w:tc>
          <w:tcPr>
            <w:tcW w:type="dxa" w:w="20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วันที่</w:t>
            </w:r>
          </w:p>
        </w:tc>
      </w:tr>
      <w:tr>
        <w:tc>
          <w:tcPr>
            <w:tcW w:type="dxa" w:w="2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20"/>
                <w:szCs w:val="20"/>
              </w:rPr>
              <w:t xml:space="preserve">จัดทำโดย</w:t>
            </w:r>
          </w:p>
        </w:tc>
        <w:tc>
          <w:tcPr>
            <w:tcW w:type="dxa" w:w="2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20"/>
                <w:szCs w:val="20"/>
              </w:rPr>
              <w:t xml:space="preserve">นางสาวพิมพ์ชนก วงศ์สกุล</w:t>
            </w:r>
          </w:p>
        </w:tc>
        <w:tc>
          <w:tcPr>
            <w:tcW w:type="dxa" w:w="2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20"/>
                <w:szCs w:val="20"/>
              </w:rPr>
              <w:t xml:space="preserve">ตรวจสอบโดย</w:t>
            </w:r>
          </w:p>
        </w:tc>
        <w:tc>
          <w:tcPr>
            <w:tcW w:type="dxa" w:w="2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20"/>
                <w:szCs w:val="20"/>
              </w:rPr>
              <w:t xml:space="preserve">เภสัชกรหญิงวิภาดา รัตนชัยสิทธิ์</w:t>
            </w:r>
          </w:p>
        </w:tc>
        <w:tc>
          <w:tcPr>
            <w:tcW w:type="dxa" w:w="2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C8960C"/>
                <w:sz w:val="20"/>
                <w:szCs w:val="20"/>
              </w:rPr>
              <w:t xml:space="preserve">อนุมัติโดย</w:t>
            </w:r>
          </w:p>
        </w:tc>
        <w:tc>
          <w:tcPr>
            <w:tcW w:type="dxa" w:w="2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20"/>
                <w:szCs w:val="20"/>
              </w:rPr>
              <w:t xml:space="preserve">นายแพทย์สมชาย ใจดี</w:t>
            </w:r>
          </w:p>
        </w:tc>
        <w:tc>
          <w:tcPr>
            <w:tcW w:type="dxa" w:w="2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1B3A6B" w:sz="24"/>
              <w:bottom w:val="single" w:color="2E5FA3" w:sz="8"/>
              <w:right w:val="nil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1B3A6B"/>
                <w:sz w:val="24"/>
                <w:szCs w:val="24"/>
              </w:rPr>
              <w:t xml:space="preserve">บทนำ  /  Introduction</w:t>
            </w:r>
          </w:p>
        </w:tc>
      </w:tr>
    </w:tbl>
    <w:p>
      <w:pPr>
        <w:spacing w:before="120" w:after="0"/>
      </w:pPr>
    </w:p>
    <w:p>
      <w:pPr>
        <w:spacing w:before="80" w:after="80" w:line="340"/>
        <w:jc w:val="left"/>
      </w:pPr>
      <w:r>
        <w:rPr>
          <w:rFonts w:ascii="TH SarabunPSK" w:cs="TH SarabunPSK" w:eastAsia="TH SarabunPSK" w:hAnsi="TH SarabunPSK"/>
          <w:color w:val="1A2340"/>
          <w:sz w:val="22"/>
          <w:szCs w:val="22"/>
        </w:rPr>
        <w:t xml:space="preserve">คู่มือฉบับนี้กล่าวถึงขั้นตอนการจัดยาทั้งหมดอย่างละเอียด สำหรับเจ้าหน้าที่ผู้จัดยาและเภสัชกรในหน่วยงานเภสัชกรรม เพื่อให้การจัดยาเป็นไปตามมาตรฐาน ถูกต้อง แม่นยำ และปลอดภัยสำหรับผู้ป่วย</w:t>
      </w:r>
    </w:p>
    <w:p>
      <w:pPr>
        <w:spacing w:before="160" w:after="0"/>
      </w:pPr>
    </w:p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ขั้นที่ 1</w:t>
            </w:r>
          </w:p>
        </w:tc>
        <w:tc>
          <w:tcPr>
            <w:tcW w:type="dxa" w:w="8160"/>
            <w:tcBorders>
              <w:top w:val="nil" w:color="FFFFFF" w:sz="0"/>
              <w:left w:val="single" w:color="2E5FA3" w:sz="16"/>
              <w:bottom w:val="nil" w:color="FFFFFF" w:sz="0"/>
              <w:right w:val="nil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1B3A6B"/>
                <w:sz w:val="26"/>
                <w:szCs w:val="26"/>
              </w:rPr>
              <w:t xml:space="preserve">📄  การรับใบคำสั่งจ่ายยา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6B7A99"/>
                <w:sz w:val="22"/>
                <w:szCs w:val="22"/>
              </w:rPr>
              <w:t xml:space="preserve">[ แทรกรูปภาพ ]</w:t>
            </w:r>
            <w:r>
              <w:br/>
            </w:r>
            <w:r>
              <w:rPr>
                <w:rFonts w:ascii="TH SarabunPSK" w:cs="TH SarabunPSK" w:eastAsia="TH SarabunPSK" w:hAnsi="TH SarabunPSK"/>
                <w:i/>
                <w:iCs/>
                <w:color w:val="6B7A99"/>
                <w:sz w:val="18"/>
                <w:szCs w:val="18"/>
              </w:rPr>
              <w:t xml:space="preserve">ภาพแสดงการรับใบคำสั่งจ่ายยาจากแพทย์หรือระบบคอมพิวเตอร์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200"/>
        <w:gridCol w:w="1960"/>
        <w:gridCol w:w="1200"/>
        <w:gridCol w:w="800"/>
      </w:tblGrid>
      <w:tr>
        <w:trPr>
          <w:tblHeader/>
        </w:trP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ผู้รับผิดชอบ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ขั้นตอนการปฏิบัติงาน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จุดควบคุมความเสี่ยง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ตัวชี้วัด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เวลา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1.1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เจ้าหน้าที่รับคำสั่ง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รับใบคำสั่งจ่ายยาจากแพทย์หรือระบบคอมพิวเตอร์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ตรวจสอบความสมบูรณ์ของใบสั่งยา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จำนวนครั้งที่ใบสั่งยาไม่สมบูรณ์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2 นาที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1.2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เจ้าหน้าที่รับคำสั่ง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ตรวจสอบข้อมูลผู้ป่วย: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ชื่อ-นามสกุล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HN (Hospital Number)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หมายเลขห้อง / เตียง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ยืนยันตัวตนผู้ป่วยให้ถูกต้อง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จำนวนครั้งที่พบข้อมูลไม่ตรง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2 นาที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1.3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เจ้าหน้าที่รับคำสั่ง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พิมพ์สติ๊กเกอร์ยาและใบนำทาง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ตรวจสอบความถูกต้องของข้อมูลก่อนพิมพ์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จำนวนสติ๊กเกอร์ที่พิมพ์ผิด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3 นาที</w:t>
            </w:r>
          </w:p>
        </w:tc>
      </w:tr>
    </w:tbl>
    <w:p>
      <w:pPr>
        <w:spacing w:before="240" w:after="0"/>
      </w:pPr>
    </w:p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ขั้นที่ 2</w:t>
            </w:r>
          </w:p>
        </w:tc>
        <w:tc>
          <w:tcPr>
            <w:tcW w:type="dxa" w:w="8160"/>
            <w:tcBorders>
              <w:top w:val="nil" w:color="FFFFFF" w:sz="0"/>
              <w:left w:val="single" w:color="2E5FA3" w:sz="16"/>
              <w:bottom w:val="nil" w:color="FFFFFF" w:sz="0"/>
              <w:right w:val="nil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1B3A6B"/>
                <w:sz w:val="26"/>
                <w:szCs w:val="26"/>
              </w:rPr>
              <w:t xml:space="preserve">🧴  การเตรียมยาและอุปกรณ์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6B7A99"/>
                <w:sz w:val="22"/>
                <w:szCs w:val="22"/>
              </w:rPr>
              <w:t xml:space="preserve">[ แทรกรูปภาพ ]</w:t>
            </w:r>
            <w:r>
              <w:br/>
            </w:r>
            <w:r>
              <w:rPr>
                <w:rFonts w:ascii="TH SarabunPSK" w:cs="TH SarabunPSK" w:eastAsia="TH SarabunPSK" w:hAnsi="TH SarabunPSK"/>
                <w:i/>
                <w:iCs/>
                <w:color w:val="6B7A99"/>
                <w:sz w:val="18"/>
                <w:szCs w:val="18"/>
              </w:rPr>
              <w:t xml:space="preserve">ภาพแสดงการเตรียมอุปกรณ์การจัดยาให้พร้อม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200"/>
        <w:gridCol w:w="1960"/>
        <w:gridCol w:w="1200"/>
        <w:gridCol w:w="800"/>
      </w:tblGrid>
      <w:tr>
        <w:trPr>
          <w:tblHeader/>
        </w:trP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ผู้รับผิดชอบ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ขั้นตอนการปฏิบัติงาน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จุดควบคุมความเสี่ยง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ตัวชี้วัด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เวลา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2.1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ผู้จัดยา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เตรียมอุปกรณ์การจัดยา: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ตะกร้าสะอาด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ซองยา (ซองใส, ซองชา)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ถาดนับยา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ปากกา/ดินสอสำหรับทำเครื่องหมาย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อุปกรณ์ต้องสะอาดและพร้อมใช้งาน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ผลการตรวจสอบความสะอาด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5 นาที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2.2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ผู้จัดยา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เตรียมซองยาให้เหมาะสมกับประเภทยา: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ยาไวต่อแสง → ซองสีชาหรือซองทึบแสง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ยาทั่วไป → ซองใส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ป้องกันยาเสื่อมสภาพจากแสง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จำนวนครั้งที่เลือกซองไม่เหมาะสม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3 นาที</w:t>
            </w:r>
          </w:p>
        </w:tc>
      </w:tr>
    </w:tbl>
    <w:p>
      <w:pPr>
        <w:spacing w:before="240" w:after="0"/>
      </w:pPr>
    </w:p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ขั้นที่ 3</w:t>
            </w:r>
          </w:p>
        </w:tc>
        <w:tc>
          <w:tcPr>
            <w:tcW w:type="dxa" w:w="8160"/>
            <w:tcBorders>
              <w:top w:val="nil" w:color="FFFFFF" w:sz="0"/>
              <w:left w:val="single" w:color="2E5FA3" w:sz="16"/>
              <w:bottom w:val="nil" w:color="FFFFFF" w:sz="0"/>
              <w:right w:val="nil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1B3A6B"/>
                <w:sz w:val="26"/>
                <w:szCs w:val="26"/>
              </w:rPr>
              <w:t xml:space="preserve">🏷️  การหยิบยาจากชั้นเก็บยา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6B7A99"/>
                <w:sz w:val="22"/>
                <w:szCs w:val="22"/>
              </w:rPr>
              <w:t xml:space="preserve">[ แทรกรูปภาพ ]</w:t>
            </w:r>
            <w:r>
              <w:br/>
            </w:r>
            <w:r>
              <w:rPr>
                <w:rFonts w:ascii="TH SarabunPSK" w:cs="TH SarabunPSK" w:eastAsia="TH SarabunPSK" w:hAnsi="TH SarabunPSK"/>
                <w:i/>
                <w:iCs/>
                <w:color w:val="6B7A99"/>
                <w:sz w:val="18"/>
                <w:szCs w:val="18"/>
              </w:rPr>
              <w:t xml:space="preserve">ภาพแสดงการหยิบยาจากชั้นเก็บยาตามหลัก FEFO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200"/>
        <w:gridCol w:w="1960"/>
        <w:gridCol w:w="1200"/>
        <w:gridCol w:w="800"/>
      </w:tblGrid>
      <w:tr>
        <w:trPr>
          <w:tblHeader/>
        </w:trP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ผู้รับผิดชอบ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ขั้นตอนการปฏิบัติงาน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จุดควบคุมความเสี่ยง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ตัวชี้วัด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เวลา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3.1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ผู้จัดยา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อ่านฉลากยาบนสติ๊กเกอร์อย่างละเอียด: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ชื่อสามัญทางยา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ชื่อการค้า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ความแรง / ขนาดบรรจุ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จำนวนที่ต้องจ่าย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ป้องกันการหยิบยาผิดชนิด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จำนวนครั้งที่หยิบยาผิด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2 นาที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3.2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ผู้จัดยา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เดินไปที่ชั้นเก็บยาตามตำแหน่งที่ระบุ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ตรวจสอบตำแหน่งให้ถูกต้อง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เวลาที่ใช้ในการหายา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2 นาที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3.3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ผู้จัดยา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หยิบยาตามหลัก FEFO (First Expired, First Out):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เลือกยาที่หมดอายุก่อนออกมาก่อน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ตรวจสอบวันหมดอายุก่อนนำมาจัด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หากยาใกล้หมดอายุ แยกออกมาจัดก่อน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ป้องกันการจ่ายยาหมดอายุ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จำนวนครั้งที่พบยาหมดอายุ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5 นาที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3.4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ผู้จัดยา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ตรวจสอบยาที่หยิบออกมา: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ตรวจสอบชื่อยาอีกครั้ง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ตรวจสอบความแรง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ตรวจสอบจำนวนในสต๊อก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ยืนยันความถูกต้องของยาที่หยิบ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จำนวนครั้งที่หยิบยาผิด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2 นาที</w:t>
            </w:r>
          </w:p>
        </w:tc>
      </w:tr>
    </w:tbl>
    <w:p>
      <w:pPr>
        <w:spacing w:before="240" w:after="0"/>
      </w:pPr>
    </w:p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ขั้นที่ 4</w:t>
            </w:r>
          </w:p>
        </w:tc>
        <w:tc>
          <w:tcPr>
            <w:tcW w:type="dxa" w:w="8160"/>
            <w:tcBorders>
              <w:top w:val="nil" w:color="FFFFFF" w:sz="0"/>
              <w:left w:val="single" w:color="2E5FA3" w:sz="16"/>
              <w:bottom w:val="nil" w:color="FFFFFF" w:sz="0"/>
              <w:right w:val="nil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1B3A6B"/>
                <w:sz w:val="26"/>
                <w:szCs w:val="26"/>
              </w:rPr>
              <w:t xml:space="preserve">💊  การบรรจุยาลงซอง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6B7A99"/>
                <w:sz w:val="22"/>
                <w:szCs w:val="22"/>
              </w:rPr>
              <w:t xml:space="preserve">[ แทรกรูปภาพ ]</w:t>
            </w:r>
            <w:r>
              <w:br/>
            </w:r>
            <w:r>
              <w:rPr>
                <w:rFonts w:ascii="TH SarabunPSK" w:cs="TH SarabunPSK" w:eastAsia="TH SarabunPSK" w:hAnsi="TH SarabunPSK"/>
                <w:i/>
                <w:iCs/>
                <w:color w:val="6B7A99"/>
                <w:sz w:val="18"/>
                <w:szCs w:val="18"/>
              </w:rPr>
              <w:t xml:space="preserve">ภาพแสดงการบรรจุยาลงซองอย่างถูกต้อง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200"/>
        <w:gridCol w:w="1960"/>
        <w:gridCol w:w="1200"/>
        <w:gridCol w:w="800"/>
      </w:tblGrid>
      <w:tr>
        <w:trPr>
          <w:tblHeader/>
        </w:trP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ผู้รับผิดชอบ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ขั้นตอนการปฏิบัติงาน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จุดควบคุมความเสี่ยง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ตัวชี้วัด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เวลา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4.1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ผู้จัดยา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เทยาลงถาดนับยาที่สะอาด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ป้องกันการปนเปื้อน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จำนวนครั้งที่เกิดการปนเปื้อน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3 นาที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4.2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ผู้จัดยา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นับจำนวนยาตามที่ระบุในใบสั่งยา: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ใช้ถาดนับยาที่สะอาด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นับให้ถูกต้องตามจำนวน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ป้องกันการนับผิดจำนวน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จำนวนครั้งที่นับผิด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5 นาที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4.3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ผู้จัดยา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บรรจุยาลงซองที่เหมาะสม: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ยาไวต่อแสง → ซองสีชา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ยาทั่วไป → ซองใส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ยาแผงฟอยล์ → ใส่ทั้งแผง ไม่ต้องแบ่ง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เลือกซองให้เหมาะสมกับคุณสมบัติยา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จำนวนครั้งที่เลือกซองผิด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5 นาที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4.4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ผู้จัดยา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ปิดซองยาให้เรียบร้อยและสนิท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ซองต้องปิดสนิท ไม่ให้ยาหล่น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จำนวนซองที่ปิดไม่สนิท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2 นาที</w:t>
            </w:r>
          </w:p>
        </w:tc>
      </w:tr>
    </w:tbl>
    <w:p>
      <w:pPr>
        <w:spacing w:before="240" w:after="0"/>
      </w:pPr>
    </w:p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ขั้นที่ 5</w:t>
            </w:r>
          </w:p>
        </w:tc>
        <w:tc>
          <w:tcPr>
            <w:tcW w:type="dxa" w:w="8160"/>
            <w:tcBorders>
              <w:top w:val="nil" w:color="FFFFFF" w:sz="0"/>
              <w:left w:val="single" w:color="2E5FA3" w:sz="16"/>
              <w:bottom w:val="nil" w:color="FFFFFF" w:sz="0"/>
              <w:right w:val="nil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1B3A6B"/>
                <w:sz w:val="26"/>
                <w:szCs w:val="26"/>
              </w:rPr>
              <w:t xml:space="preserve">✔️  การตรวจสอบและทวนสอบ (Verification)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6B7A99"/>
                <w:sz w:val="22"/>
                <w:szCs w:val="22"/>
              </w:rPr>
              <w:t xml:space="preserve">[ แทรกรูปภาพ ]</w:t>
            </w:r>
            <w:r>
              <w:br/>
            </w:r>
            <w:r>
              <w:rPr>
                <w:rFonts w:ascii="TH SarabunPSK" w:cs="TH SarabunPSK" w:eastAsia="TH SarabunPSK" w:hAnsi="TH SarabunPSK"/>
                <w:i/>
                <w:iCs/>
                <w:color w:val="6B7A99"/>
                <w:sz w:val="18"/>
                <w:szCs w:val="18"/>
              </w:rPr>
              <w:t xml:space="preserve">ภาพแสดงการตรวจสอบและทวนสอบยาก่อนจ่ายให้ผู้ป่วย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200"/>
        <w:gridCol w:w="1960"/>
        <w:gridCol w:w="1200"/>
        <w:gridCol w:w="800"/>
      </w:tblGrid>
      <w:tr>
        <w:trPr>
          <w:tblHeader/>
        </w:trP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ผู้รับผิดชอบ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ขั้นตอนการปฏิบัติงาน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จุดควบคุมความเสี่ยง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ตัวชี้วัด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เวลา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5.1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ผู้จัดยา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ตรวจสอบยาที่บรรจุแล้วทั้งหมด: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เทียบกับใบสั่งยา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ตรวจสอบจำนวนซอง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ตรวจสอบชื่อยาในแต่ละซอง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จุดควบคุมความเสี่ยงก่อนทวนสอบ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ข้อผิดพลาดที่พบ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5 นาที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5.2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เภสัชกรผู้ทวนสอบ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ทวนสอบโดยเภสัชกร (Double Check):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ยาตรงตามใบสั่งยาหรือไม่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จำนวนถูกต้องหรือไม่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ซองยาถูกต้องตามความไวต่อแสงหรือไม่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จุดควบคุมความเสี่ยงสำคัญสุดท้าย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ข้อผิดพลาดจากการทวนสอบ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5 นาที</w:t>
            </w:r>
          </w:p>
        </w:tc>
      </w:tr>
    </w:tbl>
    <w:p>
      <w:pPr>
        <w:spacing w:before="240" w:after="0"/>
      </w:pPr>
    </w:p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ขั้นที่ 6</w:t>
            </w:r>
          </w:p>
        </w:tc>
        <w:tc>
          <w:tcPr>
            <w:tcW w:type="dxa" w:w="8160"/>
            <w:tcBorders>
              <w:top w:val="nil" w:color="FFFFFF" w:sz="0"/>
              <w:left w:val="single" w:color="2E5FA3" w:sz="16"/>
              <w:bottom w:val="nil" w:color="FFFFFF" w:sz="0"/>
              <w:right w:val="nil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1B3A6B"/>
                <w:sz w:val="26"/>
                <w:szCs w:val="26"/>
              </w:rPr>
              <w:t xml:space="preserve">📤  การจ่ายยาให้ผู้ป่วย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6B7A99"/>
                <w:sz w:val="22"/>
                <w:szCs w:val="22"/>
              </w:rPr>
              <w:t xml:space="preserve">[ แทรกรูปภาพ ]</w:t>
            </w:r>
            <w:r>
              <w:br/>
            </w:r>
            <w:r>
              <w:rPr>
                <w:rFonts w:ascii="TH SarabunPSK" w:cs="TH SarabunPSK" w:eastAsia="TH SarabunPSK" w:hAnsi="TH SarabunPSK"/>
                <w:i/>
                <w:iCs/>
                <w:color w:val="6B7A99"/>
                <w:sz w:val="18"/>
                <w:szCs w:val="18"/>
              </w:rPr>
              <w:t xml:space="preserve">ภาพแสดงการจ่ายยาให้ผู้ป่วยพร้อมคำแนะนำ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200"/>
        <w:gridCol w:w="1960"/>
        <w:gridCol w:w="1200"/>
        <w:gridCol w:w="800"/>
      </w:tblGrid>
      <w:tr>
        <w:trPr>
          <w:tblHeader/>
        </w:trP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ผู้รับผิดชอบ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ขั้นตอนการปฏิบัติงาน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จุดควบคุมความเสี่ยง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ตัวชี้วัด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เวลา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6.1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เภสัชกรผู้จ่ายยา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เรียกชื่อผู้ป่วยและขอดูบัตรประจำตัวผู้ป่วย / บัตรคิว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ยืนยันตัวตนผู้ป่วยก่อนจ่ายยา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จำนวนครั้งที่จ่ายยาผู้ป่วยผิด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3 นาที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6.2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เภสัชกรผู้จ่ายยา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ส่งมอบยาและให้คำแนะนำ: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แจ้งชื่อยาและวิธีใช้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แจ้งผลข้างเคียงที่ควรสังเกต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แนะนำการเก็บรักษา</w:t>
            </w:r>
          </w:p>
          <w:p>
            <w:pPr>
              <w:spacing w:before="4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• แจ้งวันนัดมารับยาครั้งต่อไป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ผู้ป่วยเข้าใจการใช้ยาอย่างถูกต้อง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ความพึงพอใจของผู้ป่วย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5 นาที</w:t>
            </w:r>
          </w:p>
        </w:tc>
      </w:tr>
      <w:tr>
        <w:tc>
          <w:tcPr>
            <w:tcW w:type="dxa" w:w="7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2E5FA3"/>
                <w:sz w:val="19"/>
                <w:szCs w:val="19"/>
              </w:rPr>
              <w:t xml:space="preserve">6.3</w:t>
            </w:r>
          </w:p>
        </w:tc>
        <w:tc>
          <w:tcPr>
            <w:tcW w:type="dxa" w:w="15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เภสัชกรผู้จ่ายยา</w:t>
            </w:r>
          </w:p>
        </w:tc>
        <w:tc>
          <w:tcPr>
            <w:tcW w:type="dxa" w:w="3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ลงนามในใบจ่ายยาและเก็บเอกสาร</w:t>
            </w:r>
          </w:p>
        </w:tc>
        <w:tc>
          <w:tcPr>
            <w:tcW w:type="dxa" w:w="19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C0392B"/>
                <w:sz w:val="19"/>
                <w:szCs w:val="19"/>
              </w:rPr>
              <w:t xml:space="preserve">บันทึกการจ่ายยาเป็นหลักฐาน</w:t>
            </w:r>
          </w:p>
        </w:tc>
        <w:tc>
          <w:tcPr>
            <w:tcW w:type="dxa" w:w="12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TH SarabunPSK" w:cs="TH SarabunPSK" w:eastAsia="TH SarabunPSK" w:hAnsi="TH SarabunPSK"/>
                <w:color w:val="1A2340"/>
                <w:sz w:val="19"/>
                <w:szCs w:val="19"/>
              </w:rPr>
              <w:t xml:space="preserve">ความครบถ้วนของเอกสาร</w:t>
            </w:r>
          </w:p>
        </w:tc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D1EF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D7B6F"/>
                <w:sz w:val="19"/>
                <w:szCs w:val="19"/>
              </w:rPr>
              <w:t xml:space="preserve">2 นาที</w:t>
            </w:r>
          </w:p>
        </w:tc>
      </w:tr>
    </w:tbl>
    <w:p>
      <w:pPr>
        <w:spacing w:before="4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1B3A6B"/>
                <w:sz w:val="22"/>
                <w:szCs w:val="22"/>
              </w:rPr>
              <w:t xml:space="preserve">--- สิ้นสุดเอกสาร SP-003 ---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/>
      </w:pBdr>
      <w:spacing w:before="80"/>
      <w:jc w:val="center"/>
    </w:pPr>
    <w:r>
      <w:rPr>
        <w:rFonts w:ascii="TH SarabunPSK" w:cs="TH SarabunPSK" w:eastAsia="TH SarabunPSK" w:hAnsi="TH SarabunPSK"/>
        <w:color w:val="6B7A99"/>
        <w:sz w:val="16"/>
        <w:szCs w:val="16"/>
      </w:rPr>
      <w:t xml:space="preserve">เอกสารนี้ควบคุมโดยระบบบริหารคุณภาพ  •  </w:t>
    </w:r>
    <w:r>
      <w:rPr>
        <w:rFonts w:ascii="TH SarabunPSK" w:cs="TH SarabunPSK" w:eastAsia="TH SarabunPSK" w:hAnsi="TH SarabunPSK"/>
        <w:b/>
        <w:bCs/>
        <w:color w:val="C0392B"/>
        <w:sz w:val="16"/>
        <w:szCs w:val="16"/>
      </w:rPr>
      <w:t xml:space="preserve">ห้ามถ่ายเอกสารโดยไม่ได้รับอนุญาต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2360"/>
      <w:gridCol w:w="1500"/>
    </w:tblGrid>
    <w:tr>
      <w:tc>
        <w:tcPr>
          <w:tcW w:type="dxa" w:w="5500"/>
          <w:tcBorders>
            <w:top w:val="single" w:color="D0D8E8" w:sz="4"/>
            <w:left w:val="single" w:color="D0D8E8" w:sz="4"/>
            <w:bottom w:val="single" w:color="D0D8E8" w:sz="4"/>
            <w:right w:val="single" w:color="D0D8E8" w:sz="4"/>
          </w:tcBorders>
          <w:shd w:fill="EEF4FC" w:val="clear"/>
          <w:tcMar>
            <w:top w:type="dxa" w:w="100"/>
            <w:left w:type="dxa" w:w="140"/>
            <w:bottom w:type="dxa" w:w="100"/>
            <w:right w:type="dxa" w:w="140"/>
          </w:tcMar>
          <w:vAlign w:val="center"/>
        </w:tcPr>
        <w:p>
          <w:pPr>
            <w:spacing w:before="0" w:after="0" w:line="276"/>
            <w:jc w:val="left"/>
          </w:pPr>
          <w:r>
            <w:rPr>
              <w:rFonts w:ascii="TH SarabunPSK" w:cs="TH SarabunPSK" w:eastAsia="TH SarabunPSK" w:hAnsi="TH SarabunPSK"/>
              <w:b/>
              <w:bCs/>
              <w:color w:val="1B3A6B"/>
              <w:sz w:val="18"/>
              <w:szCs w:val="18"/>
            </w:rPr>
            <w:t xml:space="preserve">โรงพยาบาลวังน้ำเย็น  •  กลุ่มงานเภสัชกรรมและคุ้มครองผู้บริโภค</w:t>
          </w:r>
        </w:p>
      </w:tc>
      <w:tc>
        <w:tcPr>
          <w:tcW w:type="dxa" w:w="2360"/>
          <w:tcBorders>
            <w:top w:val="single" w:color="D0D8E8" w:sz="4"/>
            <w:left w:val="single" w:color="D0D8E8" w:sz="4"/>
            <w:bottom w:val="single" w:color="D0D8E8" w:sz="4"/>
            <w:right w:val="single" w:color="D0D8E8" w:sz="4"/>
          </w:tcBorders>
          <w:shd w:fill="EEF4FC" w:val="clear"/>
          <w:tcMar>
            <w:top w:type="dxa" w:w="100"/>
            <w:left w:type="dxa" w:w="140"/>
            <w:bottom w:type="dxa" w:w="100"/>
            <w:right w:type="dxa" w:w="140"/>
          </w:tcMar>
          <w:vAlign w:val="center"/>
        </w:tcPr>
        <w:p>
          <w:pPr>
            <w:spacing w:before="0" w:after="0" w:line="276"/>
            <w:jc w:val="center"/>
          </w:pPr>
          <w:r>
            <w:rPr>
              <w:rFonts w:ascii="TH SarabunPSK" w:cs="TH SarabunPSK" w:eastAsia="TH SarabunPSK" w:hAnsi="TH SarabunPSK"/>
              <w:color w:val="6B7A99"/>
              <w:sz w:val="16"/>
              <w:szCs w:val="16"/>
            </w:rPr>
            <w:t xml:space="preserve">เอกสาร: SP-003  |  ฉบับที่: 1</w:t>
          </w:r>
        </w:p>
      </w:tc>
      <w:tc>
        <w:tcPr>
          <w:tcW w:type="dxa" w:w="1500"/>
          <w:tcBorders>
            <w:top w:val="single" w:color="D0D8E8" w:sz="4"/>
            <w:left w:val="single" w:color="D0D8E8" w:sz="4"/>
            <w:bottom w:val="single" w:color="D0D8E8" w:sz="4"/>
            <w:right w:val="single" w:color="D0D8E8" w:sz="4"/>
          </w:tcBorders>
          <w:shd w:fill="EEF4FC" w:val="clear"/>
          <w:tcMar>
            <w:top w:type="dxa" w:w="100"/>
            <w:left w:type="dxa" w:w="140"/>
            <w:bottom w:type="dxa" w:w="100"/>
            <w:right w:type="dxa" w:w="140"/>
          </w:tcMar>
          <w:vAlign w:val="center"/>
        </w:tcPr>
        <w:p>
          <w:pPr>
            <w:jc w:val="center"/>
          </w:pPr>
          <w:r>
            <w:rPr>
              <w:rFonts w:ascii="TH SarabunPSK" w:cs="TH SarabunPSK" w:eastAsia="TH SarabunPSK" w:hAnsi="TH SarabunPSK"/>
              <w:color w:val="6B7A99"/>
              <w:sz w:val="16"/>
              <w:szCs w:val="16"/>
            </w:rPr>
            <w:t xml:space="preserve">หน้าที่ </w:t>
          </w:r>
          <w:r>
            <w:rPr>
              <w:b/>
              <w:bCs/>
              <w:color w:val="1B3A6B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B7A99"/>
              <w:sz w:val="16"/>
              <w:szCs w:val="16"/>
            </w:rPr>
            <w:t xml:space="preserve"> / </w:t>
          </w:r>
          <w:r>
            <w:rPr>
              <w:b/>
              <w:bCs/>
              <w:color w:val="1B3A6B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2026-03-19T08:05:54.871Z</dcterms:created>
  <dcterms:modified xsi:type="dcterms:W3CDTF">2026-03-19T08:05:54.872Z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