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745AB" w:rsidRDefault="00000000">
      <w:pPr>
        <w:bidi/>
        <w:spacing w:after="100"/>
        <w:jc w:val="center"/>
        <w:rPr>
          <w:b/>
          <w:bCs/>
        </w:rPr>
      </w:pPr>
      <w:r>
        <w:rPr>
          <w:b/>
          <w:bCs/>
          <w:color w:val="000000"/>
          <w:sz w:val="28"/>
          <w:szCs w:val="28"/>
          <w:rtl/>
        </w:rPr>
        <w:t>بسمه تعالی</w:t>
      </w:r>
    </w:p>
    <w:p w:rsidR="00B745AB" w:rsidRDefault="00000000">
      <w:pPr>
        <w:bidi/>
        <w:spacing w:after="100"/>
        <w:jc w:val="center"/>
        <w:rPr>
          <w:b/>
          <w:bCs/>
        </w:rPr>
      </w:pPr>
      <w:r>
        <w:rPr>
          <w:b/>
          <w:bCs/>
          <w:color w:val="000000"/>
          <w:sz w:val="26"/>
          <w:szCs w:val="26"/>
          <w:rtl/>
        </w:rPr>
        <w:t>جمهوری اسلامی ایران</w:t>
      </w:r>
    </w:p>
    <w:p w:rsidR="00B745AB" w:rsidRDefault="00000000">
      <w:pPr>
        <w:bidi/>
        <w:spacing w:after="100"/>
        <w:jc w:val="center"/>
        <w:rPr>
          <w:b/>
          <w:bCs/>
        </w:rPr>
      </w:pPr>
      <w:r>
        <w:rPr>
          <w:b/>
          <w:bCs/>
          <w:color w:val="000000"/>
          <w:sz w:val="26"/>
          <w:szCs w:val="26"/>
          <w:rtl/>
        </w:rPr>
        <w:t>وزارت بهداشت، درمان و آموزش پزشکی</w:t>
      </w:r>
    </w:p>
    <w:p w:rsidR="00B745AB" w:rsidRDefault="00000000">
      <w:pPr>
        <w:bidi/>
        <w:spacing w:after="100"/>
        <w:jc w:val="center"/>
        <w:rPr>
          <w:b/>
          <w:bCs/>
        </w:rPr>
      </w:pPr>
      <w:r>
        <w:rPr>
          <w:b/>
          <w:bCs/>
          <w:color w:val="000000"/>
          <w:sz w:val="26"/>
          <w:szCs w:val="26"/>
          <w:rtl/>
        </w:rPr>
        <w:t>دانشگاه علوم پزشکی شهید بهشتی</w:t>
      </w:r>
    </w:p>
    <w:p w:rsidR="00B745AB" w:rsidRDefault="00000000">
      <w:pPr>
        <w:bidi/>
        <w:spacing w:after="100"/>
        <w:jc w:val="center"/>
        <w:rPr>
          <w:b/>
          <w:bCs/>
        </w:rPr>
      </w:pPr>
      <w:r>
        <w:rPr>
          <w:b/>
          <w:bCs/>
          <w:color w:val="000000"/>
          <w:sz w:val="24"/>
          <w:szCs w:val="24"/>
          <w:rtl/>
        </w:rPr>
        <w:t>معاونت پژوهشی</w:t>
      </w:r>
    </w:p>
    <w:p w:rsidR="00B745AB" w:rsidRDefault="00B745AB">
      <w:pPr>
        <w:bidi/>
        <w:spacing w:after="20"/>
        <w:jc w:val="center"/>
        <w:rPr>
          <w:b/>
          <w:bCs/>
        </w:rPr>
      </w:pPr>
    </w:p>
    <w:p w:rsidR="00B745AB" w:rsidRDefault="00000000">
      <w:pPr>
        <w:bidi/>
        <w:spacing w:after="120"/>
        <w:jc w:val="center"/>
        <w:rPr>
          <w:b/>
          <w:bCs/>
        </w:rPr>
      </w:pPr>
      <w:r>
        <w:rPr>
          <w:b/>
          <w:bCs/>
          <w:sz w:val="26"/>
          <w:szCs w:val="26"/>
          <w:rtl/>
        </w:rPr>
        <w:t>فرم پروپوزال پایان‌نامه دوره تخصصی بیماری‌های داخلی</w:t>
      </w:r>
    </w:p>
    <w:p w:rsidR="00B745AB" w:rsidRDefault="00B745AB">
      <w:pPr>
        <w:bidi/>
        <w:spacing w:after="40"/>
        <w:jc w:val="center"/>
      </w:pPr>
    </w:p>
    <w:p w:rsidR="00B745AB" w:rsidRDefault="00000000">
      <w:pPr>
        <w:bidi/>
        <w:spacing w:before="200" w:after="80"/>
        <w:jc w:val="center"/>
      </w:pPr>
      <w:r>
        <w:rPr>
          <w:b/>
          <w:bCs/>
          <w:color w:val="1F497D"/>
          <w:sz w:val="28"/>
          <w:szCs w:val="28"/>
          <w:rtl/>
        </w:rPr>
        <w:t>۱- مشخصات ارائه‌دهنده پروژه</w:t>
      </w:r>
    </w:p>
    <w:p w:rsidR="00B745AB" w:rsidRDefault="00000000">
      <w:pPr>
        <w:bidi/>
        <w:spacing w:after="80"/>
        <w:jc w:val="center"/>
      </w:pPr>
      <w:r>
        <w:rPr>
          <w:b/>
          <w:bCs/>
          <w:sz w:val="24"/>
          <w:szCs w:val="24"/>
          <w:rtl/>
        </w:rPr>
        <w:t>۱-۱- نام و نام خانوادگی مجری:</w:t>
      </w:r>
    </w:p>
    <w:p w:rsidR="00B745AB" w:rsidRDefault="00000000">
      <w:pPr>
        <w:bidi/>
        <w:spacing w:after="100"/>
        <w:ind w:firstLine="283"/>
        <w:jc w:val="center"/>
        <w:rPr>
          <w:sz w:val="24"/>
          <w:szCs w:val="24"/>
        </w:rPr>
      </w:pPr>
      <w:r>
        <w:rPr>
          <w:sz w:val="24"/>
          <w:szCs w:val="24"/>
          <w:rtl/>
        </w:rPr>
        <w:t>دکتر امیرهوشنگ گرامی</w:t>
      </w:r>
    </w:p>
    <w:p w:rsidR="00B745AB" w:rsidRDefault="00B745AB">
      <w:pPr>
        <w:bidi/>
        <w:spacing w:after="100"/>
        <w:ind w:firstLine="283"/>
        <w:jc w:val="center"/>
        <w:rPr>
          <w:sz w:val="24"/>
          <w:szCs w:val="24"/>
        </w:rPr>
      </w:pPr>
    </w:p>
    <w:p w:rsidR="00B745AB" w:rsidRDefault="00000000">
      <w:pPr>
        <w:bidi/>
        <w:spacing w:after="80"/>
        <w:jc w:val="center"/>
      </w:pPr>
      <w:r>
        <w:rPr>
          <w:b/>
          <w:bCs/>
          <w:sz w:val="24"/>
          <w:szCs w:val="24"/>
          <w:rtl/>
        </w:rPr>
        <w:t>۱-۲- واحد اجراکننده:</w:t>
      </w:r>
    </w:p>
    <w:p w:rsidR="00B745AB" w:rsidRDefault="00000000">
      <w:pPr>
        <w:bidi/>
        <w:spacing w:after="100"/>
        <w:ind w:firstLine="283"/>
        <w:jc w:val="center"/>
        <w:rPr>
          <w:b/>
          <w:bCs/>
        </w:rPr>
      </w:pPr>
      <w:r>
        <w:rPr>
          <w:sz w:val="24"/>
          <w:szCs w:val="24"/>
          <w:rtl/>
        </w:rPr>
        <w:t>دانشکده پزشکی و مرکز تحقیقات چاقی پژوهشکده غدد و متابولیسم |  گروه: بیماری‌های داخلی  |  مدت اجرا: ۱۸ ماه</w:t>
      </w:r>
    </w:p>
    <w:p w:rsidR="00B745AB" w:rsidRDefault="00B745AB">
      <w:pPr>
        <w:bidi/>
        <w:spacing w:after="80"/>
        <w:rPr>
          <w:b/>
          <w:bCs/>
        </w:rPr>
      </w:pPr>
    </w:p>
    <w:p w:rsidR="00B745AB" w:rsidRDefault="00000000">
      <w:pPr>
        <w:bidi/>
        <w:spacing w:after="80"/>
        <w:jc w:val="center"/>
        <w:rPr>
          <w:b/>
          <w:bCs/>
        </w:rPr>
      </w:pPr>
      <w:r>
        <w:rPr>
          <w:b/>
          <w:bCs/>
          <w:color w:val="000000"/>
          <w:sz w:val="23"/>
          <w:szCs w:val="23"/>
          <w:rtl/>
        </w:rPr>
        <w:t>۱-۳- مشخصات همکاران اصلی:</w:t>
      </w:r>
    </w:p>
    <w:tbl>
      <w:tblPr>
        <w:tblStyle w:val="a"/>
        <w:bidiVisual/>
        <w:tblW w:w="982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1"/>
        <w:gridCol w:w="2346"/>
        <w:gridCol w:w="2991"/>
        <w:gridCol w:w="1986"/>
        <w:gridCol w:w="1702"/>
      </w:tblGrid>
      <w:tr w:rsidR="00B745AB" w:rsidTr="009B440B">
        <w:trPr>
          <w:trHeight w:val="340"/>
        </w:trPr>
        <w:tc>
          <w:tcPr>
            <w:tcW w:w="801" w:type="dxa"/>
            <w:vAlign w:val="center"/>
          </w:tcPr>
          <w:p w:rsidR="00B745AB" w:rsidRDefault="00000000">
            <w:pPr>
              <w:bidi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sz w:val="20"/>
                <w:szCs w:val="20"/>
                <w:rtl/>
              </w:rPr>
              <w:t>ردیف</w:t>
            </w:r>
            <w:proofErr w:type="spellEnd"/>
          </w:p>
        </w:tc>
        <w:tc>
          <w:tcPr>
            <w:tcW w:w="2346" w:type="dxa"/>
            <w:vAlign w:val="center"/>
          </w:tcPr>
          <w:p w:rsidR="00B745AB" w:rsidRDefault="00000000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  <w:rtl/>
              </w:rPr>
              <w:t>نام و نام‌خانوادگی</w:t>
            </w:r>
          </w:p>
        </w:tc>
        <w:tc>
          <w:tcPr>
            <w:tcW w:w="2991" w:type="dxa"/>
            <w:vAlign w:val="center"/>
          </w:tcPr>
          <w:p w:rsidR="00B745AB" w:rsidRDefault="00000000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  <w:rtl/>
              </w:rPr>
              <w:t>شغل/رشته</w:t>
            </w:r>
          </w:p>
        </w:tc>
        <w:tc>
          <w:tcPr>
            <w:tcW w:w="1986" w:type="dxa"/>
            <w:vAlign w:val="center"/>
          </w:tcPr>
          <w:p w:rsidR="00B745AB" w:rsidRDefault="00000000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  <w:rtl/>
              </w:rPr>
              <w:t>رتبه علمی</w:t>
            </w:r>
          </w:p>
        </w:tc>
        <w:tc>
          <w:tcPr>
            <w:tcW w:w="1702" w:type="dxa"/>
            <w:vAlign w:val="center"/>
          </w:tcPr>
          <w:p w:rsidR="00B745AB" w:rsidRDefault="00000000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  <w:rtl/>
              </w:rPr>
              <w:t>نوع همکاری در طرح</w:t>
            </w:r>
          </w:p>
        </w:tc>
      </w:tr>
      <w:tr w:rsidR="00B745AB" w:rsidTr="009B440B">
        <w:trPr>
          <w:trHeight w:val="340"/>
        </w:trPr>
        <w:tc>
          <w:tcPr>
            <w:tcW w:w="801" w:type="dxa"/>
            <w:vAlign w:val="center"/>
          </w:tcPr>
          <w:p w:rsidR="00B745AB" w:rsidRDefault="00000000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۱</w:t>
            </w:r>
          </w:p>
        </w:tc>
        <w:tc>
          <w:tcPr>
            <w:tcW w:w="2346" w:type="dxa"/>
            <w:vAlign w:val="center"/>
          </w:tcPr>
          <w:p w:rsidR="00B745AB" w:rsidRDefault="00000000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  <w:rtl/>
              </w:rPr>
              <w:t>دکترسید امیرحسین فاضلی</w:t>
            </w:r>
          </w:p>
        </w:tc>
        <w:tc>
          <w:tcPr>
            <w:tcW w:w="2991" w:type="dxa"/>
            <w:vAlign w:val="center"/>
          </w:tcPr>
          <w:p w:rsidR="00B745AB" w:rsidRDefault="00000000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  <w:rtl/>
              </w:rPr>
              <w:t>فوق تخصص نفرولوژی</w:t>
            </w:r>
          </w:p>
        </w:tc>
        <w:tc>
          <w:tcPr>
            <w:tcW w:w="1986" w:type="dxa"/>
            <w:vAlign w:val="center"/>
          </w:tcPr>
          <w:p w:rsidR="00B745AB" w:rsidRDefault="00000000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  <w:rtl/>
              </w:rPr>
              <w:t>استادیار</w:t>
            </w:r>
          </w:p>
        </w:tc>
        <w:tc>
          <w:tcPr>
            <w:tcW w:w="1702" w:type="dxa"/>
            <w:vAlign w:val="center"/>
          </w:tcPr>
          <w:p w:rsidR="00B745AB" w:rsidRDefault="00000000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  <w:rtl/>
              </w:rPr>
              <w:t>استاد راهنما اول</w:t>
            </w:r>
          </w:p>
        </w:tc>
      </w:tr>
      <w:tr w:rsidR="00B745AB" w:rsidTr="009B440B">
        <w:trPr>
          <w:trHeight w:val="340"/>
        </w:trPr>
        <w:tc>
          <w:tcPr>
            <w:tcW w:w="801" w:type="dxa"/>
            <w:vAlign w:val="center"/>
          </w:tcPr>
          <w:p w:rsidR="00B745AB" w:rsidRDefault="00000000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۲</w:t>
            </w:r>
          </w:p>
        </w:tc>
        <w:tc>
          <w:tcPr>
            <w:tcW w:w="2346" w:type="dxa"/>
            <w:vAlign w:val="center"/>
          </w:tcPr>
          <w:p w:rsidR="00B745AB" w:rsidRDefault="00000000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  <w:rtl/>
              </w:rPr>
              <w:t>دکتر مجید ولی‌زاده</w:t>
            </w:r>
          </w:p>
        </w:tc>
        <w:tc>
          <w:tcPr>
            <w:tcW w:w="2991" w:type="dxa"/>
            <w:vAlign w:val="center"/>
          </w:tcPr>
          <w:p w:rsidR="00B745AB" w:rsidRDefault="00000000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  <w:rtl/>
              </w:rPr>
              <w:t>فوق تخصص غدد و متابولیسم</w:t>
            </w:r>
          </w:p>
        </w:tc>
        <w:tc>
          <w:tcPr>
            <w:tcW w:w="1986" w:type="dxa"/>
            <w:vAlign w:val="center"/>
          </w:tcPr>
          <w:p w:rsidR="00B745AB" w:rsidRDefault="00000000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  <w:rtl/>
              </w:rPr>
              <w:t>استاد</w:t>
            </w:r>
          </w:p>
        </w:tc>
        <w:tc>
          <w:tcPr>
            <w:tcW w:w="1702" w:type="dxa"/>
            <w:vAlign w:val="center"/>
          </w:tcPr>
          <w:p w:rsidR="00B745AB" w:rsidRDefault="00000000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  <w:rtl/>
              </w:rPr>
              <w:t>استاد راهنما دوم</w:t>
            </w:r>
          </w:p>
        </w:tc>
      </w:tr>
      <w:tr w:rsidR="00B745AB" w:rsidTr="009B440B">
        <w:trPr>
          <w:trHeight w:val="340"/>
        </w:trPr>
        <w:tc>
          <w:tcPr>
            <w:tcW w:w="801" w:type="dxa"/>
            <w:vAlign w:val="center"/>
          </w:tcPr>
          <w:p w:rsidR="00B745AB" w:rsidRDefault="00000000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۳</w:t>
            </w:r>
          </w:p>
        </w:tc>
        <w:tc>
          <w:tcPr>
            <w:tcW w:w="2346" w:type="dxa"/>
            <w:vAlign w:val="center"/>
          </w:tcPr>
          <w:p w:rsidR="00B745AB" w:rsidRDefault="00000000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  <w:rtl/>
              </w:rPr>
              <w:t>دکتر فرهاد حسین‌پناه</w:t>
            </w:r>
          </w:p>
        </w:tc>
        <w:tc>
          <w:tcPr>
            <w:tcW w:w="2991" w:type="dxa"/>
            <w:vAlign w:val="center"/>
          </w:tcPr>
          <w:p w:rsidR="00B745AB" w:rsidRDefault="00000000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  <w:rtl/>
              </w:rPr>
              <w:t>فوق تخصص غدد و متابولیسم</w:t>
            </w:r>
          </w:p>
        </w:tc>
        <w:tc>
          <w:tcPr>
            <w:tcW w:w="1986" w:type="dxa"/>
            <w:vAlign w:val="center"/>
          </w:tcPr>
          <w:p w:rsidR="00B745AB" w:rsidRDefault="00000000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  <w:rtl/>
              </w:rPr>
              <w:t>استاد</w:t>
            </w:r>
          </w:p>
        </w:tc>
        <w:tc>
          <w:tcPr>
            <w:tcW w:w="1702" w:type="dxa"/>
            <w:vAlign w:val="center"/>
          </w:tcPr>
          <w:p w:rsidR="00B745AB" w:rsidRDefault="00000000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  <w:rtl/>
              </w:rPr>
              <w:t>استاد مشاور</w:t>
            </w:r>
          </w:p>
        </w:tc>
      </w:tr>
      <w:tr w:rsidR="00B745AB" w:rsidTr="009B440B">
        <w:trPr>
          <w:trHeight w:val="340"/>
        </w:trPr>
        <w:tc>
          <w:tcPr>
            <w:tcW w:w="801" w:type="dxa"/>
            <w:vAlign w:val="center"/>
          </w:tcPr>
          <w:p w:rsidR="00B745AB" w:rsidRDefault="00000000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۴</w:t>
            </w:r>
          </w:p>
        </w:tc>
        <w:tc>
          <w:tcPr>
            <w:tcW w:w="2346" w:type="dxa"/>
            <w:vAlign w:val="center"/>
          </w:tcPr>
          <w:p w:rsidR="00B745AB" w:rsidRDefault="00000000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دکتر مریم مهدوی</w:t>
            </w:r>
          </w:p>
        </w:tc>
        <w:tc>
          <w:tcPr>
            <w:tcW w:w="2991" w:type="dxa"/>
            <w:vAlign w:val="center"/>
          </w:tcPr>
          <w:p w:rsidR="00B745AB" w:rsidRDefault="00B745AB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مشاور آمار</w:t>
            </w:r>
          </w:p>
        </w:tc>
        <w:tc>
          <w:tcPr>
            <w:tcW w:w="1986" w:type="dxa"/>
            <w:vAlign w:val="center"/>
          </w:tcPr>
          <w:p w:rsidR="00B745AB" w:rsidRDefault="00B745AB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پژوهشگر غیر هیئت علمی</w:t>
            </w:r>
          </w:p>
        </w:tc>
        <w:tc>
          <w:tcPr>
            <w:tcW w:w="1702" w:type="dxa"/>
            <w:vAlign w:val="center"/>
          </w:tcPr>
          <w:p w:rsidR="00B745AB" w:rsidRDefault="00000000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استاد مشاور</w:t>
            </w:r>
          </w:p>
        </w:tc>
      </w:tr>
    </w:tbl>
    <w:p w:rsidR="00B745AB" w:rsidRDefault="00B745AB">
      <w:pPr>
        <w:bidi/>
        <w:spacing w:after="40"/>
        <w:jc w:val="center"/>
      </w:pPr>
    </w:p>
    <w:p w:rsidR="00B745AB" w:rsidRDefault="00000000">
      <w:pPr>
        <w:bidi/>
        <w:spacing w:after="80"/>
        <w:jc w:val="center"/>
        <w:rPr>
          <w:sz w:val="24"/>
          <w:szCs w:val="24"/>
        </w:rPr>
      </w:pPr>
      <w:r>
        <w:rPr>
          <w:b/>
          <w:bCs/>
          <w:sz w:val="24"/>
          <w:szCs w:val="24"/>
          <w:rtl/>
        </w:rPr>
        <w:t>۱-۴- بودجه درخواستی:</w:t>
      </w:r>
      <w:r>
        <w:t xml:space="preserve"> </w:t>
      </w:r>
      <w:r>
        <w:rPr>
          <w:sz w:val="24"/>
          <w:szCs w:val="24"/>
          <w:rtl/>
        </w:rPr>
        <w:t xml:space="preserve">بودجه مورد نیاز پس از هماهنگی با </w:t>
      </w:r>
      <w:proofErr w:type="spellStart"/>
      <w:r>
        <w:rPr>
          <w:sz w:val="24"/>
          <w:szCs w:val="24"/>
          <w:rtl/>
        </w:rPr>
        <w:t>گروه</w:t>
      </w:r>
      <w:proofErr w:type="spellEnd"/>
      <w:r>
        <w:rPr>
          <w:sz w:val="24"/>
          <w:szCs w:val="24"/>
          <w:rtl/>
        </w:rPr>
        <w:t xml:space="preserve"> </w:t>
      </w:r>
      <w:proofErr w:type="spellStart"/>
      <w:r>
        <w:rPr>
          <w:sz w:val="24"/>
          <w:szCs w:val="24"/>
          <w:rtl/>
        </w:rPr>
        <w:t>تکمیل</w:t>
      </w:r>
      <w:proofErr w:type="spellEnd"/>
      <w:r>
        <w:rPr>
          <w:sz w:val="24"/>
          <w:szCs w:val="24"/>
          <w:rtl/>
        </w:rPr>
        <w:t xml:space="preserve"> </w:t>
      </w:r>
      <w:proofErr w:type="spellStart"/>
      <w:r>
        <w:rPr>
          <w:sz w:val="24"/>
          <w:szCs w:val="24"/>
          <w:rtl/>
        </w:rPr>
        <w:t>خواهد</w:t>
      </w:r>
      <w:proofErr w:type="spellEnd"/>
      <w:r>
        <w:rPr>
          <w:sz w:val="24"/>
          <w:szCs w:val="24"/>
          <w:rtl/>
        </w:rPr>
        <w:t xml:space="preserve"> شد.</w:t>
      </w:r>
    </w:p>
    <w:p w:rsidR="00B86BBD" w:rsidRDefault="00B86BBD" w:rsidP="00B86BBD">
      <w:pPr>
        <w:bidi/>
        <w:spacing w:after="80"/>
        <w:jc w:val="center"/>
      </w:pPr>
    </w:p>
    <w:p w:rsidR="00B745AB" w:rsidRDefault="00000000" w:rsidP="00230B21">
      <w:pPr>
        <w:bidi/>
        <w:spacing w:before="240" w:after="100"/>
        <w:jc w:val="both"/>
      </w:pPr>
      <w:r>
        <w:rPr>
          <w:b/>
          <w:bCs/>
          <w:color w:val="1F497D"/>
          <w:sz w:val="26"/>
          <w:szCs w:val="26"/>
          <w:rtl/>
        </w:rPr>
        <w:t xml:space="preserve">۲-۱- عنوان پروژه:</w:t>
      </w:r>
    </w:p>
    <w:tbl>
      <w:tblPr>
        <w:tblStyle w:val="a0"/>
        <w:bidiVisual/>
        <w:tblW w:w="955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66"/>
        <w:gridCol w:w="8789"/>
      </w:tblGrid>
      <w:tr w:rsidR="00B745AB" w:rsidTr="00B86BBD">
        <w:tc>
          <w:tcPr>
            <w:tcW w:w="766" w:type="dxa"/>
            <w:vAlign w:val="center"/>
          </w:tcPr>
          <w:p w:rsidR="00B745AB" w:rsidRDefault="00000000" w:rsidP="00B86BBD">
            <w:pPr>
              <w:bidi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  <w:rtl/>
              </w:rPr>
              <w:t>فارسی</w:t>
            </w:r>
            <w:proofErr w:type="spellEnd"/>
          </w:p>
        </w:tc>
        <w:tc>
          <w:tcPr>
            <w:tcW w:w="8789" w:type="dxa"/>
            <w:vAlign w:val="center"/>
          </w:tcPr>
          <w:p w:rsidR="00B745AB" w:rsidRPr="00301CCF" w:rsidRDefault="00000000" w:rsidP="00B86BBD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بررسی ارتباط شاخص </w:t>
            </w:r>
            <w:r>
              <w:rPr>
                <w:b/>
                <w:bCs/>
              </w:rPr>
              <w:t xml:space="preserve">TyG (</w:t>
            </w:r>
            <w:r>
              <w:rPr>
                <w:b/>
                <w:bCs/>
                <w:rtl/>
              </w:rPr>
              <w:t xml:space="preserve">تری‌گلیسیرید–گلوکز) دوران کودکی و نوجوانی با سیر تغییرات عملکرد کلیوی و بروز بیماری مزمن کلیه در بزرگسالی: شواهد مبتنی بر مطالعه قند و لیپید تهران (</w:t>
            </w:r>
            <w:r>
              <w:rPr>
                <w:b/>
                <w:bCs/>
              </w:rPr>
              <w:t xml:space="preserve">TLGS</w:t>
            </w:r>
            <w:r>
              <w:rPr>
                <w:b/>
                <w:bCs/>
                <w:rtl/>
              </w:rPr>
              <w:t xml:space="preserve">)</w:t>
            </w:r>
          </w:p>
        </w:tc>
      </w:tr>
      <w:tr w:rsidR="00B745AB" w:rsidTr="00B86BBD">
        <w:tc>
          <w:tcPr>
            <w:tcW w:w="766" w:type="dxa"/>
            <w:vAlign w:val="center"/>
          </w:tcPr>
          <w:p w:rsidR="00B745AB" w:rsidRDefault="00000000" w:rsidP="00B86BBD">
            <w:pPr>
              <w:bidi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>انگلیسی</w:t>
            </w:r>
          </w:p>
        </w:tc>
        <w:tc>
          <w:tcPr>
            <w:tcW w:w="8789" w:type="dxa"/>
            <w:vAlign w:val="center"/>
          </w:tcPr>
          <w:p w:rsidR="00B745AB" w:rsidRPr="00301CCF" w:rsidRDefault="00000000" w:rsidP="00B86BBD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Association of Childhood and Adolescent Triglyceride-Glucose (TyG) Index with Adult GFR Trajectory and Incident Chronic Kidney Disease: Evidence from the Tehran Lipid and Glucose Study (TLGS) Cohort</w:t>
            </w:r>
          </w:p>
        </w:tc>
      </w:tr>
    </w:tbl>
    <w:p w:rsidR="00B86BBD" w:rsidRDefault="00B86BBD" w:rsidP="00B86BBD">
      <w:pPr>
        <w:bidi/>
        <w:spacing w:after="80"/>
        <w:jc w:val="center"/>
      </w:pPr>
    </w:p>
    <w:p w:rsidR="00B745AB" w:rsidRDefault="00000000" w:rsidP="00230B21">
      <w:pPr>
        <w:bidi/>
        <w:spacing w:before="240" w:after="100"/>
        <w:jc w:val="both"/>
      </w:pPr>
      <w:r>
        <w:rPr>
          <w:b/>
          <w:bCs/>
          <w:color w:val="1F497D"/>
          <w:sz w:val="26"/>
          <w:szCs w:val="26"/>
          <w:rtl/>
        </w:rPr>
        <w:t xml:space="preserve">۲-۲- نوع پروژه: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کاربردی: ☑     بنیادی: ☐     بنیادی ـ کاربردی: ☐</w:t>
      </w:r>
    </w:p>
    <w:p w:rsidR="00B86BBD" w:rsidRDefault="00B86BBD" w:rsidP="00B86BBD">
      <w:pPr>
        <w:bidi/>
        <w:spacing w:after="80"/>
        <w:jc w:val="center"/>
      </w:pPr>
    </w:p>
    <w:p w:rsidR="00B745AB" w:rsidRDefault="00000000" w:rsidP="00230B21">
      <w:pPr>
        <w:bidi/>
        <w:spacing w:before="240" w:after="100"/>
        <w:jc w:val="both"/>
      </w:pPr>
      <w:r>
        <w:rPr>
          <w:b/>
          <w:bCs/>
          <w:color w:val="1F497D"/>
          <w:sz w:val="26"/>
          <w:szCs w:val="26"/>
          <w:rtl/>
        </w:rPr>
        <w:t xml:space="preserve">۲-۳- خلاصه پروژه: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پیشینه، اهمیت و ضرورت انجام پروژه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بیماری مزمن کلیه (</w:t>
      </w:r>
      <w:r>
        <w:rPr>
          <w:color w:val="000000"/>
        </w:rPr>
        <w:t xml:space="preserve">Chronic Kidney Disease; CKD</w:t>
      </w:r>
      <w:r>
        <w:rPr>
          <w:color w:val="000000"/>
          <w:rtl/>
        </w:rPr>
        <w:t xml:space="preserve">) یکی از مهم‌ترین بیماری‌های غیرواگیر و از علل مهم ناتوانی، افزایش هزینه‌های سلامت و مرگ‌ومیر زودرس در جهان است. مقاومت انسولینی یکی از مکانیسم‌های کلیدی پیوند بین اختلالات متابولیک و آسیب کلیوی شناخته می‌شود. استاندارد سنجش مقاومت انسولینی، </w:t>
      </w:r>
      <w:r>
        <w:rPr>
          <w:color w:val="000000"/>
        </w:rPr>
        <w:t xml:space="preserve">HOMA-IR</w:t>
      </w:r>
      <w:r>
        <w:rPr>
          <w:color w:val="000000"/>
          <w:rtl/>
        </w:rPr>
        <w:t xml:space="preserve">، نیازمند اندازه‌گیری انسولین ناشتا است که در بسیاری از کوهورت‌های جمعیتی، از جمله در فازهای کودکی و نوجوانی مطالعه قند و لیپید تهران (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)، به‌اندازه کافی در دسترس نیست. شاخص </w:t>
      </w:r>
      <w:r>
        <w:rPr>
          <w:color w:val="000000"/>
        </w:rPr>
        <w:t xml:space="preserve">TyG (Triglyceride-Glucose Index)</w:t>
      </w:r>
      <w:r>
        <w:rPr>
          <w:color w:val="000000"/>
          <w:rtl/>
        </w:rPr>
        <w:t xml:space="preserve">، که تنها از تری‌گلیسیرید و گلوکز ناشتا محاسبه می‌شود، در مطالعات متعدد به‌عنوان جایگزینی ساده، ارزان و معتبر برای </w:t>
      </w:r>
      <w:r>
        <w:rPr>
          <w:color w:val="000000"/>
        </w:rPr>
        <w:t xml:space="preserve">HOMA-IR</w:t>
      </w:r>
      <w:r>
        <w:rPr>
          <w:color w:val="000000"/>
          <w:rtl/>
        </w:rPr>
        <w:t xml:space="preserve"> معرفی و در برابر روش مرجع کلمپ یوگلیسمیک-هیپرانسولینمیک اعتبارسنجی شده است [۱]. اعتبار این شاخص در کودکان و نوجوانان ایرانی نیز در مطالعه ملی </w:t>
      </w:r>
      <w:r>
        <w:rPr>
          <w:color w:val="000000"/>
        </w:rPr>
        <w:t xml:space="preserve">CASPIAN-V</w:t>
      </w:r>
      <w:r>
        <w:rPr>
          <w:color w:val="000000"/>
          <w:rtl/>
        </w:rPr>
        <w:t xml:space="preserve"> تأیید شده است [۲].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یافته‌های پیشین از 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 نشان داده‌اند که سیر تغییرات (</w:t>
      </w:r>
      <w:r>
        <w:rPr>
          <w:color w:val="000000"/>
        </w:rPr>
        <w:t xml:space="preserve">trajectory</w:t>
      </w:r>
      <w:r>
        <w:rPr>
          <w:color w:val="000000"/>
          <w:rtl/>
        </w:rPr>
        <w:t xml:space="preserve">) شاخص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در بزرگسالان طی ۱۸ سال پیگیری با افزایش خطر بروز </w:t>
      </w:r>
      <w:r>
        <w:rPr>
          <w:color w:val="000000"/>
        </w:rPr>
        <w:t xml:space="preserve">CKD</w:t>
      </w:r>
      <w:r>
        <w:rPr>
          <w:color w:val="000000"/>
          <w:rtl/>
        </w:rPr>
        <w:t xml:space="preserve"> همراه است [۳]. با این حال، مشخص نیست که آیا سطح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در دوران کودکی و نوجوانی می‌تواند سیر تغییرات عملکرد کلیوی (</w:t>
      </w:r>
      <w:r>
        <w:rPr>
          <w:color w:val="000000"/>
        </w:rPr>
        <w:t xml:space="preserve">GFR Trajectory</w:t>
      </w:r>
      <w:r>
        <w:rPr>
          <w:color w:val="000000"/>
          <w:rtl/>
        </w:rPr>
        <w:t xml:space="preserve">) و بروز </w:t>
      </w:r>
      <w:r>
        <w:rPr>
          <w:color w:val="000000"/>
        </w:rPr>
        <w:t xml:space="preserve">CKD</w:t>
      </w:r>
      <w:r>
        <w:rPr>
          <w:color w:val="000000"/>
          <w:rtl/>
        </w:rPr>
        <w:t xml:space="preserve"> را در بزرگسالی پیش‌بینی کند یا خیر. پاسخ به این سؤال می‌تواند مبنایی برای غربالگری متابولیک ساده و قابل اجرا (بدون نیاز به سنجش انسولین) در کودکان و نوجوانان پرخطر فراهم کند.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هدف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هدف این پژوهش بررسی ارتباط شاخص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دوران کودکی و نوجوانی با سیر تغییرات عملکرد کلیوی (</w:t>
      </w:r>
      <w:r>
        <w:rPr>
          <w:color w:val="000000"/>
        </w:rPr>
        <w:t xml:space="preserve">GFR Trajectory</w:t>
      </w:r>
      <w:r>
        <w:rPr>
          <w:color w:val="000000"/>
          <w:rtl/>
        </w:rPr>
        <w:t xml:space="preserve">) و بروز بیماری مزمن کلیه (</w:t>
      </w:r>
      <w:r>
        <w:rPr>
          <w:color w:val="000000"/>
        </w:rPr>
        <w:t xml:space="preserve">Incident CKD</w:t>
      </w:r>
      <w:r>
        <w:rPr>
          <w:color w:val="000000"/>
          <w:rtl/>
        </w:rPr>
        <w:t xml:space="preserve">) در بزرگسالی، در شرکت‌کنندگان مطالعه قند و لیپید تهران است.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روش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این مطالعه به‌صورت تحلیل ثانویه داده‌های کوهورت 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 طراحی شده است. جمعیت مورد مطالعه شامل شرکت‌کنندگانی خواهد بود که در زمان ارزیابی پایه در محدوده سنی ۷ تا ۱۸ سال (کودکی و نوجوانی) قرار داشته و داده‌های لازم برای محاسبه </w:t>
      </w:r>
      <w:r>
        <w:rPr>
          <w:color w:val="000000"/>
        </w:rPr>
        <w:t xml:space="preserve">TyG Index (</w:t>
      </w:r>
      <w:r>
        <w:rPr>
          <w:color w:val="000000"/>
          <w:rtl/>
        </w:rPr>
        <w:t xml:space="preserve">تری‌گلیسیرید و گلوکز ناشتا) و حداقل دو اندازه‌گیری </w:t>
      </w:r>
      <w:r>
        <w:rPr>
          <w:color w:val="000000"/>
        </w:rPr>
        <w:t xml:space="preserve">eGFR</w:t>
      </w:r>
      <w:r>
        <w:rPr>
          <w:color w:val="000000"/>
          <w:rtl/>
        </w:rPr>
        <w:t xml:space="preserve"> در طول پیگیری در دسترس باشد. پیامد اصلی، شیب سالانه </w:t>
      </w:r>
      <w:r>
        <w:rPr>
          <w:color w:val="000000"/>
        </w:rPr>
        <w:t xml:space="preserve">eGFR (GFR slope)</w:t>
      </w:r>
      <w:r>
        <w:rPr>
          <w:color w:val="000000"/>
          <w:rtl/>
        </w:rPr>
        <w:t xml:space="preserve"> و پیامدهای ثانویه، کاهش سریع عملکرد کلیوی (</w:t>
      </w:r>
      <w:r>
        <w:rPr>
          <w:color w:val="000000"/>
        </w:rPr>
        <w:t xml:space="preserve">Rapid Renal Decline</w:t>
      </w:r>
      <w:r>
        <w:rPr>
          <w:color w:val="000000"/>
          <w:rtl/>
        </w:rPr>
        <w:t xml:space="preserve">) و بروز بیماری مزمن کلیه (</w:t>
      </w:r>
      <w:r>
        <w:rPr>
          <w:color w:val="000000"/>
        </w:rPr>
        <w:t xml:space="preserve">Incident CKD</w:t>
      </w:r>
      <w:r>
        <w:rPr>
          <w:color w:val="000000"/>
          <w:rtl/>
        </w:rPr>
        <w:t xml:space="preserve">) خواهند بود. تحلیل آماری اصلی شامل مدل‌های </w:t>
      </w:r>
      <w:r>
        <w:rPr>
          <w:color w:val="000000"/>
        </w:rPr>
        <w:t xml:space="preserve">Linear Mixed Effects</w:t>
      </w:r>
      <w:r>
        <w:rPr>
          <w:color w:val="000000"/>
          <w:rtl/>
        </w:rPr>
        <w:t xml:space="preserve"> برای رابطه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با شیب </w:t>
      </w:r>
      <w:r>
        <w:rPr>
          <w:color w:val="000000"/>
        </w:rPr>
        <w:t xml:space="preserve">eGFR (</w:t>
      </w:r>
      <w:r>
        <w:rPr>
          <w:color w:val="000000"/>
          <w:rtl/>
        </w:rPr>
        <w:t xml:space="preserve">با بررسی دوز-پاسخ) و مدل </w:t>
      </w:r>
      <w:r>
        <w:rPr>
          <w:color w:val="000000"/>
        </w:rPr>
        <w:t xml:space="preserve">Cox</w:t>
      </w:r>
      <w:r>
        <w:rPr>
          <w:color w:val="000000"/>
          <w:rtl/>
        </w:rPr>
        <w:t xml:space="preserve"> برای بروز </w:t>
      </w:r>
      <w:r>
        <w:rPr>
          <w:color w:val="000000"/>
        </w:rPr>
        <w:t xml:space="preserve">CKD</w:t>
      </w:r>
      <w:r>
        <w:rPr>
          <w:color w:val="000000"/>
          <w:rtl/>
        </w:rPr>
        <w:t xml:space="preserve">، با تعدیل مستقل برای </w:t>
      </w:r>
      <w:r>
        <w:rPr>
          <w:color w:val="000000"/>
        </w:rPr>
        <w:t xml:space="preserve">BMI-for-age z-score</w:t>
      </w:r>
      <w:r>
        <w:rPr>
          <w:color w:val="000000"/>
          <w:rtl/>
        </w:rPr>
        <w:t xml:space="preserve"> به‌منظور ارزیابی اثر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مستقل از چاقی خواهد بود.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معرفی‌کنندگان / استفاده‌کنندگان نهایی نتایج تحقیق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• گروه بیماری‌های داخلی دانشگاه علوم پزشکی شهید بهشتی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• پژوهشکده علوم غدد درون‌ریز و متابولیسم و تیم </w:t>
      </w:r>
      <w:r>
        <w:rPr>
          <w:color w:val="000000"/>
        </w:rPr>
        <w:t xml:space="preserve">TLGS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• متخصصان داخلی، نفرولوژی، غدد و متابولیسم، و اطفال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• معاونت بهداشت و سیاست‌گذاران حوزه پیشگیری از بیماری‌های غیرواگیر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• پژوهشگران اپیدمیولوژی بیماری‌های مزمن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واژگان کلیدی :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شاخص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؛ تری‌گلیسیرید–گلوکز؛ مقاومت انسولینی؛ کودکی و نوجوانی؛ 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؛ سیر عملکرد کلیوی؛ </w:t>
      </w:r>
      <w:r>
        <w:rPr>
          <w:color w:val="000000"/>
        </w:rPr>
        <w:t xml:space="preserve">GFR Trajectory</w:t>
      </w:r>
      <w:r>
        <w:rPr>
          <w:color w:val="000000"/>
          <w:rtl/>
        </w:rPr>
        <w:t xml:space="preserve">؛ بیماری مزمن کلیه</w:t>
      </w:r>
    </w:p>
    <w:p w:rsidR="00B86BBD" w:rsidRDefault="00B86BBD" w:rsidP="00B86BBD">
      <w:pPr>
        <w:bidi/>
        <w:spacing w:after="80"/>
        <w:jc w:val="center"/>
      </w:pPr>
    </w:p>
    <w:p w:rsidR="00B745AB" w:rsidRDefault="00000000" w:rsidP="00230B21">
      <w:pPr>
        <w:bidi/>
        <w:spacing w:before="240" w:after="100"/>
        <w:jc w:val="both"/>
      </w:pPr>
      <w:r>
        <w:rPr>
          <w:b/>
          <w:bCs/>
          <w:color w:val="1F497D"/>
          <w:sz w:val="26"/>
          <w:szCs w:val="26"/>
          <w:rtl/>
        </w:rPr>
        <w:t xml:space="preserve">۲-۴- دلایل انتخاب موضوع: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۱. اهمیت بیماری مزمن کلیه و نقش مقاومت انسولینی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</w:rPr>
        <w:t xml:space="preserve">CKD</w:t>
      </w:r>
      <w:r>
        <w:rPr>
          <w:color w:val="000000"/>
          <w:rtl/>
        </w:rPr>
        <w:t xml:space="preserve"> یکی از پیامدهای مهم بیماری‌های غیرواگیر است و مقاومت انسولینی یکی از مسیرهای پاتوفیزیولوژیک شناخته‌شده در پیشرفت آسیب کلیوی محسوب می‌شود؛ شناسایی زودرس آن اهمیت بالینی و سیاست‌گذاری بالایی دارد.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۲. محدودیت عملی </w:t>
      </w:r>
      <w:r>
        <w:rPr>
          <w:b/>
          <w:bCs/>
          <w:color w:val="000000"/>
          <w:sz w:val="23"/>
          <w:szCs w:val="23"/>
        </w:rPr>
        <w:t xml:space="preserve">HOMA-IR</w:t>
      </w:r>
      <w:r>
        <w:rPr>
          <w:b/>
          <w:bCs/>
          <w:color w:val="000000"/>
          <w:sz w:val="23"/>
          <w:szCs w:val="23"/>
          <w:rtl/>
        </w:rPr>
        <w:t xml:space="preserve"> و برتری کاربردی </w:t>
      </w:r>
      <w:r>
        <w:rPr>
          <w:b/>
          <w:bCs/>
          <w:color w:val="000000"/>
          <w:sz w:val="23"/>
          <w:szCs w:val="23"/>
        </w:rPr>
        <w:t xml:space="preserve">TyG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سنجش </w:t>
      </w:r>
      <w:r>
        <w:rPr>
          <w:color w:val="000000"/>
        </w:rPr>
        <w:t xml:space="preserve">HOMA-IR</w:t>
      </w:r>
      <w:r>
        <w:rPr>
          <w:color w:val="000000"/>
          <w:rtl/>
        </w:rPr>
        <w:t xml:space="preserve"> نیازمند اندازه‌گیری انسولین ناشتاست که هزینه‌بر و وابسته به استانداردسازی روش سنجش است و در داده‌های 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، به‌ویژه در فازهای کودکی و نوجوانی، به‌اندازه کافی در دسترس نیست. شاخص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تنها از دو متغیر رایج آزمایشگاهی (تری‌گلیسیرید و گلوکز ناشتا) محاسبه می‌شود و در مقایسه با کلمپ یوگلیسمیک-هیپرانسولینمیک اعتبارسنجی شده است [۱]، که آن را به جایگزینی عملی و در دسترس‌تر برای مطالعات مبتنی بر داده‌های موجود تبدیل می‌کند.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۳. اعتبار </w:t>
      </w:r>
      <w:r>
        <w:rPr>
          <w:b/>
          <w:bCs/>
          <w:color w:val="000000"/>
          <w:sz w:val="23"/>
          <w:szCs w:val="23"/>
        </w:rPr>
        <w:t xml:space="preserve">TyG</w:t>
      </w:r>
      <w:r>
        <w:rPr>
          <w:b/>
          <w:bCs/>
          <w:color w:val="000000"/>
          <w:sz w:val="23"/>
          <w:szCs w:val="23"/>
          <w:rtl/>
        </w:rPr>
        <w:t xml:space="preserve"> در کودکان و نوجوانان ایرانی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مطالعه ملی </w:t>
      </w:r>
      <w:r>
        <w:rPr>
          <w:color w:val="000000"/>
        </w:rPr>
        <w:t xml:space="preserve">CASPIAN-V</w:t>
      </w:r>
      <w:r>
        <w:rPr>
          <w:color w:val="000000"/>
          <w:rtl/>
        </w:rPr>
        <w:t xml:space="preserve"> آستانه‌های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را در کودکان و نوجوانان ۷ تا ۱۸ ساله ایرانی برای غربالگری اختلالات متابولیک تعیین کرده است [۲]، که امکان تفسیر بالینی این شاخص را در جمعیت هدف این پژوهش فراهم می‌کند.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۴. شواهد اختصاصی </w:t>
      </w:r>
      <w:r>
        <w:rPr>
          <w:b/>
          <w:bCs/>
          <w:color w:val="000000"/>
          <w:sz w:val="23"/>
          <w:szCs w:val="23"/>
        </w:rPr>
        <w:t xml:space="preserve">TLGS</w:t>
      </w:r>
      <w:r>
        <w:rPr>
          <w:b/>
          <w:bCs/>
          <w:color w:val="000000"/>
          <w:sz w:val="23"/>
          <w:szCs w:val="23"/>
          <w:rtl/>
        </w:rPr>
        <w:t xml:space="preserve"> درباره </w:t>
      </w:r>
      <w:r>
        <w:rPr>
          <w:b/>
          <w:bCs/>
          <w:color w:val="000000"/>
          <w:sz w:val="23"/>
          <w:szCs w:val="23"/>
        </w:rPr>
        <w:t xml:space="preserve">TyG</w:t>
      </w:r>
      <w:r>
        <w:rPr>
          <w:b/>
          <w:bCs/>
          <w:color w:val="000000"/>
          <w:sz w:val="23"/>
          <w:szCs w:val="23"/>
          <w:rtl/>
        </w:rPr>
        <w:t xml:space="preserve"> و بیماری کلیوی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مطالعه‌ای از همین گروه پژوهشی نشان داده است که سیر تغییرات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در بزرگسالان 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 طی ۱۸ سال پیگیری با افزایش خطر بروز </w:t>
      </w:r>
      <w:r>
        <w:rPr>
          <w:color w:val="000000"/>
        </w:rPr>
        <w:t xml:space="preserve">CKD</w:t>
      </w:r>
      <w:r>
        <w:rPr>
          <w:color w:val="000000"/>
          <w:rtl/>
        </w:rPr>
        <w:t xml:space="preserve"> همراه است [۳]. این یافته امکان‌سنجی و پیش‌زمینه علمی قوی برای مطالعه حاضر فراهم می‌کند، اما پرسش مهمی بی‌پاسخ می‌ماند: آیا همین ارتباط از دوران کودکی و نوجوانی نیز قابل پیش‌بینی است؟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۵. خلأ دانشی در ارتباط </w:t>
      </w:r>
      <w:r>
        <w:rPr>
          <w:b/>
          <w:bCs/>
          <w:color w:val="000000"/>
          <w:sz w:val="23"/>
          <w:szCs w:val="23"/>
        </w:rPr>
        <w:t xml:space="preserve">TyG</w:t>
      </w:r>
      <w:r>
        <w:rPr>
          <w:b/>
          <w:bCs/>
          <w:color w:val="000000"/>
          <w:sz w:val="23"/>
          <w:szCs w:val="23"/>
          <w:rtl/>
        </w:rPr>
        <w:t xml:space="preserve"> کودکی/نوجوانی با پیامدهای کلیوی بزرگسالی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تاکنون مطالعه‌ای که به‌طور اختصاصی ارتباط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دوران کودکی و نوجوانی را با سیر عملکرد کلیوی و بروز </w:t>
      </w:r>
      <w:r>
        <w:rPr>
          <w:color w:val="000000"/>
        </w:rPr>
        <w:t xml:space="preserve">CKD</w:t>
      </w:r>
      <w:r>
        <w:rPr>
          <w:color w:val="000000"/>
          <w:rtl/>
        </w:rPr>
        <w:t xml:space="preserve"> در بزرگسالی بررسی کرده باشد، گزارش نشده است. مطالعه حاضر با استفاده از ظرفیت طولی 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 تلاش می‌کند این خلأ را پر کند.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i/>
          <w:iCs/>
          <w:color w:val="555555"/>
          <w:sz w:val="20"/>
          <w:szCs w:val="20"/>
          <w:rtl/>
        </w:rPr>
        <w:t xml:space="preserve">یادداشت اجرایی: محدوده سنی دقیق، تعداد و زمان‌بندی اندازه‌گیری‌های </w:t>
      </w:r>
      <w:r>
        <w:rPr>
          <w:i/>
          <w:iCs/>
          <w:color w:val="555555"/>
          <w:sz w:val="20"/>
          <w:szCs w:val="20"/>
        </w:rPr>
        <w:t xml:space="preserve">TG/FPG</w:t>
      </w:r>
      <w:r>
        <w:rPr>
          <w:i/>
          <w:iCs/>
          <w:color w:val="555555"/>
          <w:sz w:val="20"/>
          <w:szCs w:val="20"/>
          <w:rtl/>
        </w:rPr>
        <w:t xml:space="preserve"> و </w:t>
      </w:r>
      <w:r>
        <w:rPr>
          <w:i/>
          <w:iCs/>
          <w:color w:val="555555"/>
          <w:sz w:val="20"/>
          <w:szCs w:val="20"/>
        </w:rPr>
        <w:t xml:space="preserve">eGFR</w:t>
      </w:r>
      <w:r>
        <w:rPr>
          <w:i/>
          <w:iCs/>
          <w:color w:val="555555"/>
          <w:sz w:val="20"/>
          <w:szCs w:val="20"/>
          <w:rtl/>
        </w:rPr>
        <w:t xml:space="preserve"> هر فرد، و تعداد افراد واجد شرایط، هنگام استخراج و بررسی داده‌های نهایی </w:t>
      </w:r>
      <w:r>
        <w:rPr>
          <w:i/>
          <w:iCs/>
          <w:color w:val="555555"/>
          <w:sz w:val="20"/>
          <w:szCs w:val="20"/>
        </w:rPr>
        <w:t xml:space="preserve">TLGS</w:t>
      </w:r>
      <w:r>
        <w:rPr>
          <w:i/>
          <w:iCs/>
          <w:color w:val="555555"/>
          <w:sz w:val="20"/>
          <w:szCs w:val="20"/>
          <w:rtl/>
        </w:rPr>
        <w:t xml:space="preserve"> تکمیل خواهد شد.</w:t>
      </w:r>
    </w:p>
    <w:p w:rsidR="00B86BBD" w:rsidRDefault="00B86BBD" w:rsidP="00B86BBD">
      <w:pPr>
        <w:bidi/>
        <w:spacing w:after="80"/>
        <w:jc w:val="center"/>
      </w:pPr>
    </w:p>
    <w:p w:rsidR="00B745AB" w:rsidRDefault="00000000" w:rsidP="00230B21">
      <w:pPr>
        <w:bidi/>
        <w:spacing w:before="240" w:after="100"/>
        <w:jc w:val="both"/>
      </w:pPr>
      <w:r>
        <w:rPr>
          <w:b/>
          <w:bCs/>
          <w:color w:val="1F497D"/>
          <w:sz w:val="26"/>
          <w:szCs w:val="26"/>
          <w:rtl/>
        </w:rPr>
        <w:t xml:space="preserve">۲-۵- بیان مسئله </w:t>
      </w:r>
      <w:r>
        <w:rPr>
          <w:b/>
          <w:bCs/>
          <w:color w:val="1F497D"/>
          <w:sz w:val="26"/>
          <w:szCs w:val="26"/>
        </w:rPr>
        <w:t xml:space="preserve">Problem Statement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بیماری مزمن کلیه (</w:t>
      </w:r>
      <w:r>
        <w:rPr>
          <w:color w:val="000000"/>
        </w:rPr>
        <w:t xml:space="preserve">CKD</w:t>
      </w:r>
      <w:r>
        <w:rPr>
          <w:color w:val="000000"/>
          <w:rtl/>
        </w:rPr>
        <w:t xml:space="preserve">) یکی از مهم‌ترین بیماری‌های غیرواگیر است و با افزایش خطر نارسایی کلیه، بیماری‌های قلبی-عروقی، کاهش کیفیت زندگی و مرگ‌ومیر زودرس همراه است. مقاومت انسولینی یکی از مکانیسم‌های کلیدی است که می‌تواند مستقل از چاقی به آسیب کلیوی منجر شود؛ از طریق هیپرفیلتراسیون گلومرولی، فعال شدن سیستم رنین-آنژیوتانسین-آلدوسترون، التهاب مزمن درجه پایین و اختلال عملکرد اندوتلیال.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استاندارد سنجش مقاومت انسولینی، </w:t>
      </w:r>
      <w:r>
        <w:rPr>
          <w:color w:val="000000"/>
        </w:rPr>
        <w:t xml:space="preserve">HOMA-IR</w:t>
      </w:r>
      <w:r>
        <w:rPr>
          <w:color w:val="000000"/>
          <w:rtl/>
        </w:rPr>
        <w:t xml:space="preserve">، نیازمند اندازه‌گیری هم‌زمان انسولین و گلوکز ناشتاست. سنجش انسولین هزینه‌بر است، استانداردسازی آن بین آزمایشگاه‌ها یکسان نیست و در بسیاری از کوهورت‌های جمعیتی بزرگ، به‌ویژه در فازهای کودکی و نوجوانی، به‌طور کامل انجام نشده است؛ در داده‌های 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 نیز این محدودیت وجود دارد. به همین دلیل شاخص‌های جایگزین (</w:t>
      </w:r>
      <w:r>
        <w:rPr>
          <w:color w:val="000000"/>
        </w:rPr>
        <w:t xml:space="preserve">surrogate</w:t>
      </w:r>
      <w:r>
        <w:rPr>
          <w:color w:val="000000"/>
          <w:rtl/>
        </w:rPr>
        <w:t xml:space="preserve">) مبتنی بر متغیرهای رایج‌تر آزمایشگاهی توسعه یافته‌اند. شاخص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، که از ضرب تری‌گلیسیرید و گلوکز ناشتا محاسبه می‌شود، در برابر روش مرجع کلمپ یوگلیسمیک-هیپرانسولینمیک اعتبارسنجی شده و همبستگی قوی با مقاومت انسولینی نشان داده است [۱].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اعتبار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در جمعیت کودکان و نوجوانان نیز بررسی شده است. مطالعه ملی </w:t>
      </w:r>
      <w:r>
        <w:rPr>
          <w:color w:val="000000"/>
        </w:rPr>
        <w:t xml:space="preserve">CASPIAN-V</w:t>
      </w:r>
      <w:r>
        <w:rPr>
          <w:color w:val="000000"/>
          <w:rtl/>
        </w:rPr>
        <w:t xml:space="preserve"> در بیش از ۱۴ هزار دانش‌آموز ایرانی ۷ تا ۱۸ ساله، آستانه‌های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را برای غربالگری اختلالات متابولیک تعیین کرد و سطح زیر منحنی </w:t>
      </w:r>
      <w:r>
        <w:rPr>
          <w:color w:val="000000"/>
        </w:rPr>
        <w:t xml:space="preserve">ROC</w:t>
      </w:r>
      <w:r>
        <w:rPr>
          <w:color w:val="000000"/>
          <w:rtl/>
        </w:rPr>
        <w:t xml:space="preserve"> قابل قبولی (۰٫۸۳) برای این شاخص گزارش کرد [۲]. با این حال، شواهدی از مطالعات دیگر (در زمینه کبد چرب متابولیک کودکان) نشان می‌دهد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همواره دقیق‌ترین شاخص در دسترس نیست و شاخص‌های ترکیبی با پارامترهای تن‌سنجی ممکن است عملکرد بهتری داشته باشند [۴،۵]؛ این موضوع لزوم تفسیر محتاطانه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و بررسی آن هم به‌صورت پیوسته و هم طبقه‌بندی‌شده را در طراحی مطالعه حاضر توجیه می‌کند.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ارتباط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با پیامدهای کلیوی در بزرگسالان نیز گزارش شده است؛ در یک مطالعه کوهورت جمعیتی ژاپنی،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پیش‌بینی‌کننده مستقل بروز </w:t>
      </w:r>
      <w:r>
        <w:rPr>
          <w:color w:val="000000"/>
        </w:rPr>
        <w:t xml:space="preserve">CKD</w:t>
      </w:r>
      <w:r>
        <w:rPr>
          <w:color w:val="000000"/>
          <w:rtl/>
        </w:rPr>
        <w:t xml:space="preserve"> بود [۶]. به‌طور خاص در جمعیت ایرانی، مطالعه‌ای از 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 نشان داد که سیر تغییرات (</w:t>
      </w:r>
      <w:r>
        <w:rPr>
          <w:color w:val="000000"/>
        </w:rPr>
        <w:t xml:space="preserve">trajectory) TyG</w:t>
      </w:r>
      <w:r>
        <w:rPr>
          <w:color w:val="000000"/>
          <w:rtl/>
        </w:rPr>
        <w:t xml:space="preserve"> در بزرگسالان طی ۱۸ سال پیگیری، مستقل از سایر عوامل خطر، با افزایش خطر بروز </w:t>
      </w:r>
      <w:r>
        <w:rPr>
          <w:color w:val="000000"/>
        </w:rPr>
        <w:t xml:space="preserve">CKD</w:t>
      </w:r>
      <w:r>
        <w:rPr>
          <w:color w:val="000000"/>
          <w:rtl/>
        </w:rPr>
        <w:t xml:space="preserve"> در هر دو جنس همراه است [۳]. این یافته امکان‌سنجی علمی قوی برای بررسی این شاخص در بستر 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 فراهم می‌کند.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با این حال، مطالعه یادشده بر بزرگسالان ۲۰ سال و بالاتر در ابتدای پیگیری متمرکز بود و مشخص نیست که آیا سطح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در دوران کودکی و نوجوانی، پیش از شکل‌گیری بسیاری از عوامل خطر بزرگسالی، می‌تواند سیر عملکرد کلیوی و بروز </w:t>
      </w:r>
      <w:r>
        <w:rPr>
          <w:color w:val="000000"/>
        </w:rPr>
        <w:t xml:space="preserve">CKD</w:t>
      </w:r>
      <w:r>
        <w:rPr>
          <w:color w:val="000000"/>
          <w:rtl/>
        </w:rPr>
        <w:t xml:space="preserve"> را در بزرگسالی پیش‌بینی کند یا خیر. از آنجا که کودکی و نوجوانی دوره‌ای حساس برای شکل‌گیری الگوهای متابولیک پایدار است، بررسی این ارتباط می‌تواند پنجره‌ای مهم برای شناسایی و مداخله زودهنگام فراهم کند.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بنابراین مطالعه حاضر با استفاده از داده‌های طولی 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 و با تمرکز بر کودکان و نوجوانان ۷ تا ۱۸ ساله، ارتباط شاخص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دوران کودکی و نوجوانی را با سیر بلندمدت عملکرد کلیوی (</w:t>
      </w:r>
      <w:r>
        <w:rPr>
          <w:color w:val="000000"/>
        </w:rPr>
        <w:t xml:space="preserve">GFR Trajectory</w:t>
      </w:r>
      <w:r>
        <w:rPr>
          <w:color w:val="000000"/>
          <w:rtl/>
        </w:rPr>
        <w:t xml:space="preserve">) و بروز بیماری مزمن کلیه (</w:t>
      </w:r>
      <w:r>
        <w:rPr>
          <w:color w:val="000000"/>
        </w:rPr>
        <w:t xml:space="preserve">Incident CKD</w:t>
      </w:r>
      <w:r>
        <w:rPr>
          <w:color w:val="000000"/>
          <w:rtl/>
        </w:rPr>
        <w:t xml:space="preserve">) در بزرگسالی بررسی خواهد کرد. سؤال محوری مطالعه این است که آیا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دوران کودکی/نوجوانی، مستقل از وضعیت وزن (</w:t>
      </w:r>
      <w:r>
        <w:rPr>
          <w:color w:val="000000"/>
        </w:rPr>
        <w:t xml:space="preserve">BMI-for-age</w:t>
      </w:r>
      <w:r>
        <w:rPr>
          <w:color w:val="000000"/>
          <w:rtl/>
        </w:rPr>
        <w:t xml:space="preserve">)، پیش‌بینی‌کننده مستقلی برای افت عملکرد کلیوی بزرگسالی است یا خیر.</w:t>
      </w:r>
    </w:p>
    <w:p w:rsidR="00B86BBD" w:rsidRDefault="00B86BBD" w:rsidP="00B86BBD">
      <w:pPr>
        <w:bidi/>
        <w:spacing w:after="80"/>
        <w:jc w:val="center"/>
      </w:pPr>
    </w:p>
    <w:p w:rsidR="00B745AB" w:rsidRDefault="00000000" w:rsidP="00230B21">
      <w:pPr>
        <w:bidi/>
        <w:spacing w:before="240" w:after="100"/>
        <w:jc w:val="both"/>
      </w:pPr>
      <w:r>
        <w:rPr>
          <w:b/>
          <w:bCs/>
          <w:color w:val="1F497D"/>
          <w:sz w:val="26"/>
          <w:szCs w:val="26"/>
          <w:rtl/>
        </w:rPr>
        <w:t xml:space="preserve">۲-۶- تعاریف عملیاتی مفاهیم اصلی: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دوران کودکی و نوجوانی </w:t>
      </w:r>
      <w:r>
        <w:rPr>
          <w:b/>
          <w:bCs/>
          <w:color w:val="000000"/>
          <w:sz w:val="23"/>
          <w:szCs w:val="23"/>
        </w:rPr>
        <w:t xml:space="preserve">Childhood and Adolescence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سازمان جهانی بهداشت نوجوانی را محدوده سنی ۱۰ تا ۱۹ سال تعریف می‌کند. از آنجا که عنوان و سؤال این مطالعه دوران کودکی را نیز دربر می‌گیرد و شاخص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نیازمند تری‌گلیسیرید و گلوکز ناشتاست که عمدتاً از سنین مدرسه به بعد به‌طور منظم اندازه‌گیری می‌شود، محدوده سنی عملیاتی مطالعه ۷ تا ۱۸ سال در ویزیت پایه در نظر گرفته می‌شود؛ این بازه با جمعیت مطالعه ملی </w:t>
      </w:r>
      <w:r>
        <w:rPr>
          <w:color w:val="000000"/>
        </w:rPr>
        <w:t xml:space="preserve">CASPIAN-V</w:t>
      </w:r>
      <w:r>
        <w:rPr>
          <w:color w:val="000000"/>
          <w:rtl/>
        </w:rPr>
        <w:t xml:space="preserve"> که آستانه‌های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کودکان ایرانی را تعیین کرده همسو است [۲] و امکان تفسیر بالینی مقادیر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را فراهم می‌کند. محدوده سنی نهایی بر اساس در دسترس بودن داده‌های </w:t>
      </w:r>
      <w:r>
        <w:rPr>
          <w:color w:val="000000"/>
        </w:rPr>
        <w:t xml:space="preserve">TG/FPG</w:t>
      </w:r>
      <w:r>
        <w:rPr>
          <w:color w:val="000000"/>
          <w:rtl/>
        </w:rPr>
        <w:t xml:space="preserve"> ناشتا در پایگاه 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 تعیین خواهد شد.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شاخص </w:t>
      </w:r>
      <w:r>
        <w:rPr>
          <w:b/>
          <w:bCs/>
          <w:color w:val="000000"/>
          <w:sz w:val="23"/>
          <w:szCs w:val="23"/>
        </w:rPr>
        <w:t xml:space="preserve">TyG Triglyceride-Glucose Index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</w:rPr>
        <w:t xml:space="preserve">TyG Index</w:t>
      </w:r>
      <w:r>
        <w:rPr>
          <w:color w:val="000000"/>
          <w:rtl/>
        </w:rPr>
        <w:t xml:space="preserve"> از رابطه </w:t>
      </w:r>
      <w:r>
        <w:rPr>
          <w:color w:val="000000"/>
        </w:rPr>
        <w:t xml:space="preserve">Ln</w:t>
      </w:r>
      <w:r>
        <w:rPr>
          <w:color w:val="000000"/>
          <w:rtl/>
        </w:rPr>
        <w:t xml:space="preserve">[تری‌گلیسیرید ناشتا (</w:t>
      </w:r>
      <w:r>
        <w:rPr>
          <w:color w:val="000000"/>
        </w:rPr>
        <w:t xml:space="preserve">mg/dL) ×</w:t>
      </w:r>
      <w:r>
        <w:rPr>
          <w:color w:val="000000"/>
          <w:rtl/>
        </w:rPr>
        <w:t xml:space="preserve"> گلوکز پلاسمای ناشتا (</w:t>
      </w:r>
      <w:r>
        <w:rPr>
          <w:color w:val="000000"/>
        </w:rPr>
        <w:t xml:space="preserve">mg/dL) /</w:t>
      </w:r>
      <w:r>
        <w:rPr>
          <w:color w:val="000000"/>
          <w:rtl/>
        </w:rPr>
        <w:t xml:space="preserve"> ۲] محاسبه می‌شود [۱]. این شاخص در مقایسه با کلمپ یوگلیسمیک-هیپرانسولینمیک (روش مرجع سنجش حساسیت انسولین) اعتبارسنجی شده و همبستگی معکوس قوی با نرخ متابولیسم گلوکز کل نشان داده است؛ در بزرگسالان، مقدار ۴٫۶۸ به‌عنوان آستانه‌ای با حساسیت و ویژگی بالا برای شناسایی مقاومت انسولینی پیشنهاد شده است [۱]. در این مطالعه،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هم به‌صورت متغیر پیوسته (برای بررسی رابطه دوز-پاسخ) و هم به‌صورت طبقه‌بندی‌شده (کوارتیل یا ترشیل بر اساس توزیع نمونه) تحلیل خواهد شد. به‌عنوان تحلیل حساسیت، طبقه‌بندی بر اساس آستانه ملی کودکان ایرانی (۸٫۳۳ بر اساس </w:t>
      </w:r>
      <w:r>
        <w:rPr>
          <w:color w:val="000000"/>
        </w:rPr>
        <w:t xml:space="preserve">CASPIAN-V</w:t>
      </w:r>
      <w:r>
        <w:rPr>
          <w:color w:val="000000"/>
          <w:rtl/>
        </w:rPr>
        <w:t xml:space="preserve">) نیز بررسی می‌شود [۲].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وضعیت وزن </w:t>
      </w:r>
      <w:r>
        <w:rPr>
          <w:b/>
          <w:bCs/>
          <w:color w:val="000000"/>
          <w:sz w:val="23"/>
          <w:szCs w:val="23"/>
        </w:rPr>
        <w:t xml:space="preserve">Weight Status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وضعیت وزن به‌عنوان متغیر همراه و برای ارزیابی استقلال اثر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از چاقی، بر اساس </w:t>
      </w:r>
      <w:r>
        <w:rPr>
          <w:color w:val="000000"/>
        </w:rPr>
        <w:t xml:space="preserve">BMI-for-age z-score</w:t>
      </w:r>
      <w:r>
        <w:rPr>
          <w:color w:val="000000"/>
          <w:rtl/>
        </w:rPr>
        <w:t xml:space="preserve"> مرجع رشد </w:t>
      </w:r>
      <w:r>
        <w:rPr>
          <w:color w:val="000000"/>
        </w:rPr>
        <w:t xml:space="preserve">WHO</w:t>
      </w:r>
      <w:r>
        <w:rPr>
          <w:color w:val="000000"/>
          <w:rtl/>
        </w:rPr>
        <w:t xml:space="preserve"> تعریف می‌شود [۷]: وزن نرمال (</w:t>
      </w:r>
      <w:r>
        <w:rPr>
          <w:color w:val="000000"/>
        </w:rPr>
        <w:t xml:space="preserve">−2SD &lt; BMI-for-age &lt; +1SD</w:t>
      </w:r>
      <w:r>
        <w:rPr>
          <w:color w:val="000000"/>
          <w:rtl/>
        </w:rPr>
        <w:t xml:space="preserve">) و اضافه‌وزن/چاقی (</w:t>
      </w:r>
      <w:r>
        <w:rPr>
          <w:color w:val="000000"/>
        </w:rPr>
        <w:t xml:space="preserve">BMI-for-age ≥ +1SD</w:t>
      </w:r>
      <w:r>
        <w:rPr>
          <w:color w:val="000000"/>
          <w:rtl/>
        </w:rPr>
        <w:t xml:space="preserve">).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سیر عملکرد کلیوی </w:t>
      </w:r>
      <w:r>
        <w:rPr>
          <w:b/>
          <w:bCs/>
          <w:color w:val="000000"/>
          <w:sz w:val="23"/>
          <w:szCs w:val="23"/>
        </w:rPr>
        <w:t xml:space="preserve">GFR Trajectory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سیر عملکرد کلیوی (</w:t>
      </w:r>
      <w:r>
        <w:rPr>
          <w:color w:val="000000"/>
        </w:rPr>
        <w:t xml:space="preserve">GFR Trajectory</w:t>
      </w:r>
      <w:r>
        <w:rPr>
          <w:color w:val="000000"/>
          <w:rtl/>
        </w:rPr>
        <w:t xml:space="preserve">) به مسیر یا الگوی تغییرات </w:t>
      </w:r>
      <w:r>
        <w:rPr>
          <w:color w:val="000000"/>
        </w:rPr>
        <w:t xml:space="preserve">eGFR</w:t>
      </w:r>
      <w:r>
        <w:rPr>
          <w:color w:val="000000"/>
          <w:rtl/>
        </w:rPr>
        <w:t xml:space="preserve"> یک فرد یا گروه در طول زمان، از دوران کودکی/نوجوانی تا بزرگسالی، اطلاق می‌شود و با مدل‌های </w:t>
      </w:r>
      <w:r>
        <w:rPr>
          <w:color w:val="000000"/>
        </w:rPr>
        <w:t xml:space="preserve">Linear Mixed Effects (</w:t>
      </w:r>
      <w:r>
        <w:rPr>
          <w:color w:val="000000"/>
          <w:rtl/>
        </w:rPr>
        <w:t xml:space="preserve">شیب فردی و گروهی </w:t>
      </w:r>
      <w:r>
        <w:rPr>
          <w:color w:val="000000"/>
        </w:rPr>
        <w:t xml:space="preserve">eGFR</w:t>
      </w:r>
      <w:r>
        <w:rPr>
          <w:color w:val="000000"/>
          <w:rtl/>
        </w:rPr>
        <w:t xml:space="preserve">) برآورد خواهد شد.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کاهش عملکرد کلیوی </w:t>
      </w:r>
      <w:r>
        <w:rPr>
          <w:b/>
          <w:bCs/>
          <w:color w:val="000000"/>
          <w:sz w:val="23"/>
          <w:szCs w:val="23"/>
        </w:rPr>
        <w:t xml:space="preserve">Renal Decline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کاهش عملکرد کلیوی به بخش کاهشی سیر عملکرد کلیوی اطلاق می‌شود و به دو شکل کمّی می‌شود: (الف) شیب منفی‌تر </w:t>
      </w:r>
      <w:r>
        <w:rPr>
          <w:color w:val="000000"/>
        </w:rPr>
        <w:t xml:space="preserve">eGFR (eGFR slope</w:t>
      </w:r>
      <w:r>
        <w:rPr>
          <w:color w:val="000000"/>
          <w:rtl/>
        </w:rPr>
        <w:t xml:space="preserve">، پیوسته)؛ (ب) کاهش سریع (</w:t>
      </w:r>
      <w:r>
        <w:rPr>
          <w:color w:val="000000"/>
        </w:rPr>
        <w:t xml:space="preserve">Rapid Decline</w:t>
      </w:r>
      <w:r>
        <w:rPr>
          <w:color w:val="000000"/>
          <w:rtl/>
        </w:rPr>
        <w:t xml:space="preserve">)، با شیب فردی </w:t>
      </w:r>
      <w:r>
        <w:rPr>
          <w:color w:val="000000"/>
        </w:rPr>
        <w:t xml:space="preserve">eGFR</w:t>
      </w:r>
      <w:r>
        <w:rPr>
          <w:color w:val="000000"/>
          <w:rtl/>
        </w:rPr>
        <w:t xml:space="preserve"> کمتر از −۳ </w:t>
      </w:r>
      <w:r>
        <w:rPr>
          <w:color w:val="000000"/>
        </w:rPr>
        <w:t xml:space="preserve">mL/min/1.73m²</w:t>
      </w:r>
      <w:r>
        <w:rPr>
          <w:color w:val="000000"/>
          <w:rtl/>
        </w:rPr>
        <w:t xml:space="preserve"> در سال، مطابق تعریف رایج در مطالعات جمعیتی [۸].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پیامد اصلی </w:t>
      </w:r>
      <w:r>
        <w:rPr>
          <w:b/>
          <w:bCs/>
          <w:color w:val="000000"/>
          <w:sz w:val="23"/>
          <w:szCs w:val="23"/>
        </w:rPr>
        <w:t xml:space="preserve">Primary Outcome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</w:rPr>
        <w:t xml:space="preserve">GFR slope</w:t>
      </w:r>
      <w:r>
        <w:rPr>
          <w:color w:val="000000"/>
          <w:rtl/>
        </w:rPr>
        <w:t xml:space="preserve">: نرخ تغییر سالانه </w:t>
      </w:r>
      <w:r>
        <w:rPr>
          <w:color w:val="000000"/>
        </w:rPr>
        <w:t xml:space="preserve">eGFR</w:t>
      </w:r>
      <w:r>
        <w:rPr>
          <w:color w:val="000000"/>
          <w:rtl/>
        </w:rPr>
        <w:t xml:space="preserve"> در طول دوره پیگیری بر حسب </w:t>
      </w:r>
      <w:r>
        <w:rPr>
          <w:color w:val="000000"/>
        </w:rPr>
        <w:t xml:space="preserve">mL/min/1.73m²/year</w:t>
      </w:r>
      <w:r>
        <w:rPr>
          <w:color w:val="000000"/>
          <w:rtl/>
        </w:rPr>
        <w:t xml:space="preserve">، برآورد‌شده با مدل </w:t>
      </w:r>
      <w:r>
        <w:rPr>
          <w:color w:val="000000"/>
        </w:rPr>
        <w:t xml:space="preserve">Linear Mixed Effects</w:t>
      </w:r>
      <w:r>
        <w:rPr>
          <w:color w:val="000000"/>
          <w:rtl/>
        </w:rPr>
        <w:t xml:space="preserve"> از داده‌های تکرارشونده </w:t>
      </w:r>
      <w:r>
        <w:rPr>
          <w:color w:val="000000"/>
        </w:rPr>
        <w:t xml:space="preserve">eGFR</w:t>
      </w:r>
      <w:r>
        <w:rPr>
          <w:color w:val="000000"/>
          <w:rtl/>
        </w:rPr>
        <w:t xml:space="preserve"> در فازهای مختلف 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.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پیامدهای ثانویه </w:t>
      </w:r>
      <w:r>
        <w:rPr>
          <w:b/>
          <w:bCs/>
          <w:color w:val="000000"/>
          <w:sz w:val="23"/>
          <w:szCs w:val="23"/>
        </w:rPr>
        <w:t xml:space="preserve">Secondary Outcomes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</w:rPr>
        <w:t xml:space="preserve">Incident CKD</w:t>
      </w:r>
      <w:r>
        <w:rPr>
          <w:color w:val="000000"/>
          <w:rtl/>
        </w:rPr>
        <w:t xml:space="preserve">: بروز بیماری مزمن کلیه، به‌صورت ثبت </w:t>
      </w:r>
      <w:r>
        <w:rPr>
          <w:color w:val="000000"/>
        </w:rPr>
        <w:t xml:space="preserve">eGFR</w:t>
      </w:r>
      <w:r>
        <w:rPr>
          <w:color w:val="000000"/>
          <w:rtl/>
        </w:rPr>
        <w:t xml:space="preserve"> کمتر از </w:t>
      </w:r>
      <w:r>
        <w:rPr>
          <w:color w:val="000000"/>
        </w:rPr>
        <w:t xml:space="preserve">60 mL/min/1.73m²</w:t>
      </w:r>
      <w:r>
        <w:rPr>
          <w:color w:val="000000"/>
          <w:rtl/>
        </w:rPr>
        <w:t xml:space="preserve"> در حداقل دو ارزیابی متوالی، مشروط بر نبود </w:t>
      </w:r>
      <w:r>
        <w:rPr>
          <w:color w:val="000000"/>
        </w:rPr>
        <w:t xml:space="preserve">CKD</w:t>
      </w:r>
      <w:r>
        <w:rPr>
          <w:color w:val="000000"/>
          <w:rtl/>
        </w:rPr>
        <w:t xml:space="preserve"> در ابتدای مطالعه.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</w:rPr>
        <w:t xml:space="preserve">Rapid Renal Decline</w:t>
      </w:r>
      <w:r>
        <w:rPr>
          <w:color w:val="000000"/>
          <w:rtl/>
        </w:rPr>
        <w:t xml:space="preserve">: شیب فردی </w:t>
      </w:r>
      <w:r>
        <w:rPr>
          <w:color w:val="000000"/>
        </w:rPr>
        <w:t xml:space="preserve">eGFR</w:t>
      </w:r>
      <w:r>
        <w:rPr>
          <w:color w:val="000000"/>
          <w:rtl/>
        </w:rPr>
        <w:t xml:space="preserve"> کمتر از −۳ </w:t>
      </w:r>
      <w:r>
        <w:rPr>
          <w:color w:val="000000"/>
        </w:rPr>
        <w:t xml:space="preserve">mL/min/1.73m²/year</w:t>
      </w:r>
      <w:r>
        <w:rPr>
          <w:color w:val="000000"/>
          <w:rtl/>
        </w:rPr>
        <w:t xml:space="preserve"> در افراد دارای حداقل سه اندازه‌گیری </w:t>
      </w:r>
      <w:r>
        <w:rPr>
          <w:color w:val="000000"/>
        </w:rPr>
        <w:t xml:space="preserve">eGFR</w:t>
      </w:r>
      <w:r>
        <w:rPr>
          <w:color w:val="000000"/>
          <w:rtl/>
        </w:rPr>
        <w:t xml:space="preserve"> [۸].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</w:rPr>
        <w:t xml:space="preserve">Substantial Decline (</w:t>
      </w:r>
      <w:r>
        <w:rPr>
          <w:color w:val="000000"/>
          <w:rtl/>
        </w:rPr>
        <w:t xml:space="preserve">تحلیل حساسیت): کاهش حداقل ۳۰ درصدی </w:t>
      </w:r>
      <w:r>
        <w:rPr>
          <w:color w:val="000000"/>
        </w:rPr>
        <w:t xml:space="preserve">eGFR</w:t>
      </w:r>
      <w:r>
        <w:rPr>
          <w:color w:val="000000"/>
          <w:rtl/>
        </w:rPr>
        <w:t xml:space="preserve"> نسبت به مقدار پایه [۹].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</w:rPr>
        <w:t xml:space="preserve">eGFR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نرخ فیلتراسیون گلومرولی تخمینی بر پایه کراتینین سرم، شاخص اصلی عملکرد کلیه در این مطالعه است. از آنجا که مسیر از کودکی/نوجوانی تا بزرگسالی دنبال می‌شود، ترجیحاً یک معادله واحد برای کل طیف سنی (مانند </w:t>
      </w:r>
      <w:r>
        <w:rPr>
          <w:color w:val="000000"/>
        </w:rPr>
        <w:t xml:space="preserve">Full Age Spectrum; FAS</w:t>
      </w:r>
      <w:r>
        <w:rPr>
          <w:color w:val="000000"/>
          <w:rtl/>
        </w:rPr>
        <w:t xml:space="preserve">) برای همه اندازه‌گیری‌ها به‌کار می‌رود تا ناپیوستگی ناشی از تغییر معادله در گذار سنی ایجاد نشود؛ در تحلیل حساسیت، ترکیب معادله </w:t>
      </w:r>
      <w:r>
        <w:rPr>
          <w:color w:val="000000"/>
        </w:rPr>
        <w:t xml:space="preserve">Bedside Schwartz (</w:t>
      </w:r>
      <w:r>
        <w:rPr>
          <w:color w:val="000000"/>
          <w:rtl/>
        </w:rPr>
        <w:t xml:space="preserve">کودکان/نوجوانان) و </w:t>
      </w:r>
      <w:r>
        <w:rPr>
          <w:color w:val="000000"/>
        </w:rPr>
        <w:t xml:space="preserve">CKD-EPI (</w:t>
      </w:r>
      <w:r>
        <w:rPr>
          <w:color w:val="000000"/>
          <w:rtl/>
        </w:rPr>
        <w:t xml:space="preserve">بزرگسالان) استفاده می‌شود.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i/>
          <w:iCs/>
          <w:color w:val="555555"/>
          <w:sz w:val="20"/>
          <w:szCs w:val="20"/>
          <w:rtl/>
        </w:rPr>
        <w:t xml:space="preserve">ملاحظات وابسته به داده‌های </w:t>
      </w:r>
      <w:r>
        <w:rPr>
          <w:i/>
          <w:iCs/>
          <w:color w:val="555555"/>
          <w:sz w:val="20"/>
          <w:szCs w:val="20"/>
        </w:rPr>
        <w:t xml:space="preserve">TLGS</w:t>
      </w:r>
      <w:r>
        <w:rPr>
          <w:i/>
          <w:iCs/>
          <w:color w:val="555555"/>
          <w:sz w:val="20"/>
          <w:szCs w:val="20"/>
          <w:rtl/>
        </w:rPr>
        <w:t xml:space="preserve">: محدوده سنی نهایی، در دسترس بودن </w:t>
      </w:r>
      <w:r>
        <w:rPr>
          <w:i/>
          <w:iCs/>
          <w:color w:val="555555"/>
          <w:sz w:val="20"/>
          <w:szCs w:val="20"/>
        </w:rPr>
        <w:t xml:space="preserve">TG/FPG</w:t>
      </w:r>
      <w:r>
        <w:rPr>
          <w:i/>
          <w:iCs/>
          <w:color w:val="555555"/>
          <w:sz w:val="20"/>
          <w:szCs w:val="20"/>
          <w:rtl/>
        </w:rPr>
        <w:t xml:space="preserve"> ناشتا در فازهای کودکی، معادله نهایی </w:t>
      </w:r>
      <w:r>
        <w:rPr>
          <w:i/>
          <w:iCs/>
          <w:color w:val="555555"/>
          <w:sz w:val="20"/>
          <w:szCs w:val="20"/>
        </w:rPr>
        <w:t xml:space="preserve">eGFR</w:t>
      </w:r>
      <w:r>
        <w:rPr>
          <w:i/>
          <w:iCs/>
          <w:color w:val="555555"/>
          <w:sz w:val="20"/>
          <w:szCs w:val="20"/>
          <w:rtl/>
        </w:rPr>
        <w:t xml:space="preserve">، تعداد اندازه‌گیری‌های </w:t>
      </w:r>
      <w:r>
        <w:rPr>
          <w:i/>
          <w:iCs/>
          <w:color w:val="555555"/>
          <w:sz w:val="20"/>
          <w:szCs w:val="20"/>
        </w:rPr>
        <w:t xml:space="preserve">eGFR</w:t>
      </w:r>
      <w:r>
        <w:rPr>
          <w:i/>
          <w:iCs/>
          <w:color w:val="555555"/>
          <w:sz w:val="20"/>
          <w:szCs w:val="20"/>
          <w:rtl/>
        </w:rPr>
        <w:t xml:space="preserve"> هر فرد و الگوی داده‌های گمشده، هنگام استخراج داده نهایی </w:t>
      </w:r>
      <w:r>
        <w:rPr>
          <w:i/>
          <w:iCs/>
          <w:color w:val="555555"/>
          <w:sz w:val="20"/>
          <w:szCs w:val="20"/>
        </w:rPr>
        <w:t xml:space="preserve">TLGS</w:t>
      </w:r>
      <w:r>
        <w:rPr>
          <w:i/>
          <w:iCs/>
          <w:color w:val="555555"/>
          <w:sz w:val="20"/>
          <w:szCs w:val="20"/>
          <w:rtl/>
        </w:rPr>
        <w:t xml:space="preserve"> تکمیل خواهد شد.</w:t>
      </w:r>
    </w:p>
    <w:p w:rsidR="00B86BBD" w:rsidRDefault="00B86BBD" w:rsidP="00B86BBD">
      <w:pPr>
        <w:bidi/>
        <w:spacing w:after="80"/>
        <w:jc w:val="center"/>
      </w:pPr>
    </w:p>
    <w:p w:rsidR="00B745AB" w:rsidRDefault="00000000" w:rsidP="00230B21">
      <w:pPr>
        <w:bidi/>
        <w:spacing w:before="240" w:after="100"/>
        <w:jc w:val="both"/>
      </w:pPr>
      <w:r>
        <w:rPr>
          <w:b/>
          <w:bCs/>
          <w:color w:val="1F497D"/>
          <w:sz w:val="26"/>
          <w:szCs w:val="26"/>
          <w:rtl/>
        </w:rPr>
        <w:t xml:space="preserve">۲-۷- بررسی متون </w:t>
      </w:r>
      <w:r>
        <w:rPr>
          <w:b/>
          <w:bCs/>
          <w:color w:val="1F497D"/>
          <w:sz w:val="26"/>
          <w:szCs w:val="26"/>
        </w:rPr>
        <w:t xml:space="preserve">Literature Review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۲-۷-۱- بیماری مزمن کلیه؛ بار بیماری و اهمیت پیشگیری زودهنگام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بیماری مزمن کلیه (</w:t>
      </w:r>
      <w:r>
        <w:rPr>
          <w:color w:val="000000"/>
        </w:rPr>
        <w:t xml:space="preserve">CKD</w:t>
      </w:r>
      <w:r>
        <w:rPr>
          <w:color w:val="000000"/>
          <w:rtl/>
        </w:rPr>
        <w:t xml:space="preserve">) یکی از مهم‌ترین بیماری‌های غیرواگیر در جهان است و با افزایش خطر بیماری‌های قلبی–عروقی، نارسایی انتهایی کلیه، بستری شدن، کاهش کیفیت زندگی و مرگ‌ومیر زودرس همراه است. گزارش‌های جهانی نشان می‌دهند که </w:t>
      </w:r>
      <w:r>
        <w:rPr>
          <w:color w:val="000000"/>
        </w:rPr>
        <w:t xml:space="preserve">CKD</w:t>
      </w:r>
      <w:r>
        <w:rPr>
          <w:color w:val="000000"/>
          <w:rtl/>
        </w:rPr>
        <w:t xml:space="preserve"> سهم قابل توجهی از بار بیماری‌ها را به خود اختصاص داده است [۱۰-۱۳].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شناسایی عوامل خطر قابل مداخله پیش از رسیدن فرد به آستانه تشخیصی </w:t>
      </w:r>
      <w:r>
        <w:rPr>
          <w:color w:val="000000"/>
        </w:rPr>
        <w:t xml:space="preserve">CKD</w:t>
      </w:r>
      <w:r>
        <w:rPr>
          <w:color w:val="000000"/>
          <w:rtl/>
        </w:rPr>
        <w:t xml:space="preserve"> اهمیت ویژه‌ای دارد؛ این رویکرد استفاده از پیامدهایی مانند </w:t>
      </w:r>
      <w:r>
        <w:rPr>
          <w:color w:val="000000"/>
        </w:rPr>
        <w:t xml:space="preserve">GFR slope</w:t>
      </w:r>
      <w:r>
        <w:rPr>
          <w:color w:val="000000"/>
          <w:rtl/>
        </w:rPr>
        <w:t xml:space="preserve"> را در کنار بروز </w:t>
      </w:r>
      <w:r>
        <w:rPr>
          <w:color w:val="000000"/>
        </w:rPr>
        <w:t xml:space="preserve">CKD</w:t>
      </w:r>
      <w:r>
        <w:rPr>
          <w:color w:val="000000"/>
          <w:rtl/>
        </w:rPr>
        <w:t xml:space="preserve"> توجیه می‌کند [۱۱،۱۴].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۲-۷-۲- مقاومت انسولینی و آسیب کلیوی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مقاومت انسولینی یکی از مسیرهای پاتوفیزیولوژیک شناخته‌شده در آسیب کلیوی است. هیپرانسولینمی جبرانی می‌تواند از طریق هیپرفیلتراسیون گلومرولی، افزایش فعالیت سیستم رنین-آنژیوتانسین-آلدوسترون، التهاب مزمن درجه پایین، استرس اکسیداتیو و اختلال عملکرد اندوتلیال به آسیب تدریجی نفرون منجر شود، مستقل از وجود یا عدم وجود چاقی آشکار [۱۵،۱۶].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۲-۷-۳- شاخص‌های جایگزین مقاومت انسولینی و معرفی </w:t>
      </w:r>
      <w:r>
        <w:rPr>
          <w:b/>
          <w:bCs/>
          <w:color w:val="000000"/>
          <w:sz w:val="23"/>
          <w:szCs w:val="23"/>
        </w:rPr>
        <w:t xml:space="preserve">TyG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استاندارد سنجش مقاومت انسولینی، </w:t>
      </w:r>
      <w:r>
        <w:rPr>
          <w:color w:val="000000"/>
        </w:rPr>
        <w:t xml:space="preserve">HOMA-IR</w:t>
      </w:r>
      <w:r>
        <w:rPr>
          <w:color w:val="000000"/>
          <w:rtl/>
        </w:rPr>
        <w:t xml:space="preserve">، نیازمند اندازه‌گیری هم‌زمان انسولین و گلوکز ناشتاست. سنجش انسولین هزینه‌بر است و استانداردسازی آن بین آزمایشگاه‌ها و طول زمان یکسان نیست؛ به همین دلیل در بسیاری از کوهورت‌های بزرگ، به‌ویژه در فازهای کودکی/نوجوانی، به‌طور کامل در دسترس نیست.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شاخص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، که از ضرب تری‌گلیسیرید و گلوکز ناشتا محاسبه می‌شود، در مطالعه‌ای بنیادین در برابر کلمپ یوگلیسمیک-هیپرانسولینمیک اعتبارسنجی شد و حساسیت و ویژگی بالایی (به ترتیب ۹۶٫۵٪ و ۸۵٪) برای شناسایی مقاومت انسولینی نشان داد [۱]. از آن زمان،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به‌طور گسترده در مطالعات اپیدمیولوژیک به‌عنوان جایگزین عملی </w:t>
      </w:r>
      <w:r>
        <w:rPr>
          <w:color w:val="000000"/>
        </w:rPr>
        <w:t xml:space="preserve">HOMA-IR</w:t>
      </w:r>
      <w:r>
        <w:rPr>
          <w:color w:val="000000"/>
          <w:rtl/>
        </w:rPr>
        <w:t xml:space="preserve"> استفاده شده است.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۲-۷-۴- اعتبار </w:t>
      </w:r>
      <w:r>
        <w:rPr>
          <w:b/>
          <w:bCs/>
          <w:color w:val="000000"/>
          <w:sz w:val="23"/>
          <w:szCs w:val="23"/>
        </w:rPr>
        <w:t xml:space="preserve">TyG</w:t>
      </w:r>
      <w:r>
        <w:rPr>
          <w:b/>
          <w:bCs/>
          <w:color w:val="000000"/>
          <w:sz w:val="23"/>
          <w:szCs w:val="23"/>
          <w:rtl/>
        </w:rPr>
        <w:t xml:space="preserve"> در کودکان و نوجوانان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مطالعه ملی </w:t>
      </w:r>
      <w:r>
        <w:rPr>
          <w:color w:val="000000"/>
        </w:rPr>
        <w:t xml:space="preserve">CASPIAN-V</w:t>
      </w:r>
      <w:r>
        <w:rPr>
          <w:color w:val="000000"/>
          <w:rtl/>
        </w:rPr>
        <w:t xml:space="preserve"> در بیش از ۱۴ هزار دانش‌آموز ۷ تا ۱۸ ساله ایرانی، آستانه‌های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را برای غربالگری سندرم متابولیک تعیین کرد (آستانه کلی ۸٫۳۳؛ سطح زیر منحنی </w:t>
      </w:r>
      <w:r>
        <w:rPr>
          <w:color w:val="000000"/>
        </w:rPr>
        <w:t xml:space="preserve">ROC</w:t>
      </w:r>
      <w:r>
        <w:rPr>
          <w:color w:val="000000"/>
          <w:rtl/>
        </w:rPr>
        <w:t xml:space="preserve"> برابر ۰٫۸۳) [۲]. این شواهد نشان می‌دهند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در جمعیت کودکان و نوجوانان ایرانی قابل تفسیر و استفاده است.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با این حال، در حوزه‌های دیگر (مانند کبد چرب متابولیک کودکان) مطالعاتی نشان داده‌اند که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به‌تنهایی ممکن است دقت تشخیصی کمتری نسبت به شاخص‌های ترکیبی مبتنی بر تن‌سنجی (مانند </w:t>
      </w:r>
      <w:r>
        <w:rPr>
          <w:color w:val="000000"/>
        </w:rPr>
        <w:t xml:space="preserve">SPISE</w:t>
      </w:r>
      <w:r>
        <w:rPr>
          <w:color w:val="000000"/>
          <w:rtl/>
        </w:rPr>
        <w:t xml:space="preserve"> یا </w:t>
      </w:r>
      <w:r>
        <w:rPr>
          <w:color w:val="000000"/>
        </w:rPr>
        <w:t xml:space="preserve">METS-IR</w:t>
      </w:r>
      <w:r>
        <w:rPr>
          <w:color w:val="000000"/>
          <w:rtl/>
        </w:rPr>
        <w:t xml:space="preserve">) داشته باشد [۴،۵]. این یافته‌ها نشان‌دهنده لزوم تفسیر محتاطانه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و بررسی آن به‌صورت پیوسته، در کنار طبقه‌بندی‌های آستانه‌ای، در طراحی مطالعه حاضر است.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۲-۷-۵- </w:t>
      </w:r>
      <w:r>
        <w:rPr>
          <w:b/>
          <w:bCs/>
          <w:color w:val="000000"/>
          <w:sz w:val="23"/>
          <w:szCs w:val="23"/>
        </w:rPr>
        <w:t xml:space="preserve">TyG</w:t>
      </w:r>
      <w:r>
        <w:rPr>
          <w:b/>
          <w:bCs/>
          <w:color w:val="000000"/>
          <w:sz w:val="23"/>
          <w:szCs w:val="23"/>
          <w:rtl/>
        </w:rPr>
        <w:t xml:space="preserve"> و بیماری مزمن کلیه در مطالعات بزرگسالان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در یک مطالعه کوهورت جمعیتی ژاپنی با بیش از ۱۱ هزار شرکت‌کننده،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پیش‌بینی‌کننده مستقل بروز </w:t>
      </w:r>
      <w:r>
        <w:rPr>
          <w:color w:val="000000"/>
        </w:rPr>
        <w:t xml:space="preserve">CKD</w:t>
      </w:r>
      <w:r>
        <w:rPr>
          <w:color w:val="000000"/>
          <w:rtl/>
        </w:rPr>
        <w:t xml:space="preserve"> بود (نسبت خطر ۱٫۳۲ در مردان و ۱٫۵۰ در زنان) [۶]. این یافته‌ها از نقش مستقل مقاومت انسولینی، فراتر از عوامل خطر سنتی، در پاتوفیزیولوژی آسیب کلیوی حمایت می‌کنند.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۲-۷-۶- شواهد اختصاصی </w:t>
      </w:r>
      <w:r>
        <w:rPr>
          <w:b/>
          <w:bCs/>
          <w:color w:val="000000"/>
          <w:sz w:val="23"/>
          <w:szCs w:val="23"/>
        </w:rPr>
        <w:t xml:space="preserve">TLGS</w:t>
      </w:r>
      <w:r>
        <w:rPr>
          <w:b/>
          <w:bCs/>
          <w:color w:val="000000"/>
          <w:sz w:val="23"/>
          <w:szCs w:val="23"/>
          <w:rtl/>
        </w:rPr>
        <w:t xml:space="preserve">: سیر تغییرات </w:t>
      </w:r>
      <w:r>
        <w:rPr>
          <w:b/>
          <w:bCs/>
          <w:color w:val="000000"/>
          <w:sz w:val="23"/>
          <w:szCs w:val="23"/>
        </w:rPr>
        <w:t xml:space="preserve">TyG</w:t>
      </w:r>
      <w:r>
        <w:rPr>
          <w:b/>
          <w:bCs/>
          <w:color w:val="000000"/>
          <w:sz w:val="23"/>
          <w:szCs w:val="23"/>
          <w:rtl/>
        </w:rPr>
        <w:t xml:space="preserve"> و بیماری مزمن کلیه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مطالعه‌ای از پژوهشکده علوم غدد درون‌ریز و متابولیسم دانشگاه علوم پزشکی شهید بهشتی، با استفاده از داده‌های 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، سیر تغییرات (</w:t>
      </w:r>
      <w:r>
        <w:rPr>
          <w:color w:val="000000"/>
        </w:rPr>
        <w:t xml:space="preserve">trajectory</w:t>
      </w:r>
      <w:r>
        <w:rPr>
          <w:color w:val="000000"/>
          <w:rtl/>
        </w:rPr>
        <w:t xml:space="preserve">) نشانگرهای مقاومت انسولینی از جمله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را در ۳۰۷۱ بزرگسال طی ۱۸ سال پیگیری بررسی کرد. گروه دارای سیر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بالا، در مقایسه با گروه با سیر پایین، خطر بیشتری برای بروز </w:t>
      </w:r>
      <w:r>
        <w:rPr>
          <w:color w:val="000000"/>
        </w:rPr>
        <w:t xml:space="preserve">CKD</w:t>
      </w:r>
      <w:r>
        <w:rPr>
          <w:color w:val="000000"/>
          <w:rtl/>
        </w:rPr>
        <w:t xml:space="preserve"> داشت، هم در مردان (نسبت خطر ۱٫۹۷) و هم در زنان (نسبت خطر ۱٫۵۰) [۳].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این یافته امکان‌سنجی علمی و روش‌شناختی قوی برای به‌کارگیری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در بستر 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 فراهم می‌کند. با این حال، جمعیت آن مطالعه بزرگسالان ۲۰ سال و بالاتر در ابتدای پیگیری بودند و مشخص نیست که آیا سطح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در دوران کودکی و نوجوانی، پیش از شکل‌گیری بسیاری از عوامل خطر بزرگسالی، همین ارتباط را با سیر عملکرد کلیوی و بروز </w:t>
      </w:r>
      <w:r>
        <w:rPr>
          <w:color w:val="000000"/>
        </w:rPr>
        <w:t xml:space="preserve">CKD</w:t>
      </w:r>
      <w:r>
        <w:rPr>
          <w:color w:val="000000"/>
          <w:rtl/>
        </w:rPr>
        <w:t xml:space="preserve"> بزرگسالی نشان می‌دهد یا خیر.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۲-۷-۷- کودکی و نوجوانی؛ پنجره کلیدی برای شکل‌گیری خطر کلیوی آینده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کودکی و نوجوانی دوره‌ای حساس برای شکل‌گیری الگوهای متابولیک پایدار است. شواهد نشان می‌دهند بسیاری از عوامل خطر قلبی-متابولیک بزرگسالی، از جمله مقاومت انسولینی، از همین دوران آغاز و تثبیت می‌شوند [۱۷،۱۸]. بررسی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در این بازه سنی می‌تواند پنجره‌ای مهم برای شناسایی افراد پرخطر پیش از بروز آسیب غیرقابل‌برگشت فراهم کند.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۲-۷-۸- خلأ تحقیقاتی و ضرورت انجام مطالعه حاضر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مرور شواهد نشان می‌دهد سه حوزه به‌خوبی مطالعه شده‌اند: نخست، نقش مقاومت انسولینی در آسیب کلیوی؛ دوم، اعتبار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به‌عنوان جایگزین </w:t>
      </w:r>
      <w:r>
        <w:rPr>
          <w:color w:val="000000"/>
        </w:rPr>
        <w:t xml:space="preserve">HOMA-IR</w:t>
      </w:r>
      <w:r>
        <w:rPr>
          <w:color w:val="000000"/>
          <w:rtl/>
        </w:rPr>
        <w:t xml:space="preserve"> در بزرگسالان و کودکان؛ و سوم، ارتباط سیر تغییرات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بزرگسالی با بروز </w:t>
      </w:r>
      <w:r>
        <w:rPr>
          <w:color w:val="000000"/>
        </w:rPr>
        <w:t xml:space="preserve">CKD</w:t>
      </w:r>
      <w:r>
        <w:rPr>
          <w:color w:val="000000"/>
          <w:rtl/>
        </w:rPr>
        <w:t xml:space="preserve"> در 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. با این حال، محل تلاقی این حوزه‌ها، یعنی ارتباط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دوران کودکی و نوجوانی با سیر بلندمدت عملکرد کلیوی و بروز </w:t>
      </w:r>
      <w:r>
        <w:rPr>
          <w:color w:val="000000"/>
        </w:rPr>
        <w:t xml:space="preserve">CKD</w:t>
      </w:r>
      <w:r>
        <w:rPr>
          <w:color w:val="000000"/>
          <w:rtl/>
        </w:rPr>
        <w:t xml:space="preserve"> بزرگسالی، هنوز بررسی نشده است.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مطالعه حاضر با استفاده از داده‌های طولی 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 و با تمرکز بر کودکان و نوجوانان ۷ تا ۱۸ ساله، تلاش خواهد کرد این خلأ را پر کند و مشخص کند که آیا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دوران کودکی/نوجوانی، مستقل از وضعیت وزن، پیش‌بینی‌کننده مستقلی برای افت عملکرد کلیوی بزرگسالی است.</w:t>
      </w:r>
    </w:p>
    <w:p w:rsidR="00B86BBD" w:rsidRDefault="00B86BBD" w:rsidP="00B86BBD">
      <w:pPr>
        <w:bidi/>
        <w:spacing w:after="80"/>
        <w:jc w:val="center"/>
      </w:pP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جمع‌بندی مرور متون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بر اساس شواهد موجود، مقاومت انسولینی نقش مستقلی در آسیب کلیوی دارد و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جایگزینی معتبر و در دسترس‌تر از </w:t>
      </w:r>
      <w:r>
        <w:rPr>
          <w:color w:val="000000"/>
        </w:rPr>
        <w:t xml:space="preserve">HOMA-IR</w:t>
      </w:r>
      <w:r>
        <w:rPr>
          <w:color w:val="000000"/>
          <w:rtl/>
        </w:rPr>
        <w:t xml:space="preserve"> برای سنجش آن است، به‌ویژه در داده‌های 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 که سنجش انسولین در کودکی/نوجوانی به‌اندازه کافی موجود نیست. شواهد اختصاصی 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 نشان می‌دهد سیر تغییرات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بزرگسالی با بروز </w:t>
      </w:r>
      <w:r>
        <w:rPr>
          <w:color w:val="000000"/>
        </w:rPr>
        <w:t xml:space="preserve">CKD</w:t>
      </w:r>
      <w:r>
        <w:rPr>
          <w:color w:val="000000"/>
          <w:rtl/>
        </w:rPr>
        <w:t xml:space="preserve"> مرتبط است؛ نوآوری اصلی مطالعه حاضر، بررسی همین ارتباط با منشأ دوران کودکی و نوجوانی است.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جدول خلاصه شواهد و ارتباط با مطالعه حاضر</w:t>
      </w:r>
    </w:p>
    <w:tbl>
      <w:tblPr>
        <w:tblStyle w:val="a2"/>
        <w:bidiVisual/>
        <w:tblW w:w="96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37"/>
        <w:gridCol w:w="4396"/>
        <w:gridCol w:w="3645"/>
      </w:tblGrid>
      <w:tr w:rsidR="00B745AB" w:rsidTr="00230B21">
        <w:tc>
          <w:tcPr>
            <w:tcW w:w="1637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>حوزه شواهد</w:t>
            </w:r>
          </w:p>
        </w:tc>
        <w:tc>
          <w:tcPr>
            <w:tcW w:w="4396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>یافته‌های اصلی</w:t>
            </w:r>
          </w:p>
        </w:tc>
        <w:tc>
          <w:tcPr>
            <w:tcW w:w="3645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>ارتباط با مطالعه حاضر</w:t>
            </w:r>
          </w:p>
        </w:tc>
      </w:tr>
      <w:tr w:rsidR="00B745AB" w:rsidTr="00230B21">
        <w:tc>
          <w:tcPr>
            <w:tcW w:w="1637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 xml:space="preserve">بار بیماری مزمن کلیه</w:t>
            </w:r>
          </w:p>
        </w:tc>
        <w:tc>
          <w:tcPr>
            <w:tcW w:w="4396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</w:rPr>
              <w:t xml:space="preserve">CKD</w:t>
            </w:r>
            <w:r>
              <w:rPr>
                <w:sz w:val="20"/>
                <w:szCs w:val="20"/>
                <w:rtl/>
              </w:rPr>
              <w:t xml:space="preserve"> بار بالایی بر سلامت عمومی دارد و نیازمند شناسایی زودرس عوامل خطر است</w:t>
            </w:r>
          </w:p>
        </w:tc>
        <w:tc>
          <w:tcPr>
            <w:tcW w:w="3645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 xml:space="preserve">توجیه انتخاب </w:t>
            </w:r>
            <w:r>
              <w:rPr>
                <w:sz w:val="20"/>
                <w:szCs w:val="20"/>
              </w:rPr>
              <w:t xml:space="preserve">GFR slope</w:t>
            </w:r>
            <w:r>
              <w:rPr>
                <w:sz w:val="20"/>
                <w:szCs w:val="20"/>
                <w:rtl/>
              </w:rPr>
              <w:t xml:space="preserve"> و </w:t>
            </w:r>
            <w:r>
              <w:rPr>
                <w:sz w:val="20"/>
                <w:szCs w:val="20"/>
              </w:rPr>
              <w:t xml:space="preserve">Incident CKD</w:t>
            </w:r>
            <w:r>
              <w:rPr>
                <w:sz w:val="20"/>
                <w:szCs w:val="20"/>
                <w:rtl/>
              </w:rPr>
              <w:t xml:space="preserve"> به‌عنوان پیامد</w:t>
            </w:r>
          </w:p>
        </w:tc>
      </w:tr>
      <w:tr w:rsidR="00B745AB" w:rsidTr="00230B21">
        <w:tc>
          <w:tcPr>
            <w:tcW w:w="1637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 xml:space="preserve">مقاومت انسولینی و کلیه</w:t>
            </w:r>
          </w:p>
        </w:tc>
        <w:tc>
          <w:tcPr>
            <w:tcW w:w="4396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 xml:space="preserve">هیپرفیلتراسیون، التهاب و فعال‌سازی </w:t>
            </w:r>
            <w:r>
              <w:rPr>
                <w:sz w:val="20"/>
                <w:szCs w:val="20"/>
              </w:rPr>
              <w:t xml:space="preserve">RAAS</w:t>
            </w:r>
            <w:r>
              <w:rPr>
                <w:sz w:val="20"/>
                <w:szCs w:val="20"/>
                <w:rtl/>
              </w:rPr>
              <w:t xml:space="preserve"> مسیرهای آسیب کلیوی ناشی از </w:t>
            </w:r>
            <w:r>
              <w:rPr>
                <w:sz w:val="20"/>
                <w:szCs w:val="20"/>
              </w:rPr>
              <w:t xml:space="preserve">IR</w:t>
            </w:r>
            <w:r>
              <w:rPr>
                <w:sz w:val="20"/>
                <w:szCs w:val="20"/>
                <w:rtl/>
              </w:rPr>
              <w:t xml:space="preserve"> هستند</w:t>
            </w:r>
          </w:p>
        </w:tc>
        <w:tc>
          <w:tcPr>
            <w:tcW w:w="3645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 xml:space="preserve">مبنای مکانیستیک مواجهه </w:t>
            </w:r>
            <w:r>
              <w:rPr>
                <w:sz w:val="20"/>
                <w:szCs w:val="20"/>
              </w:rPr>
              <w:t xml:space="preserve">TyG</w:t>
            </w:r>
          </w:p>
        </w:tc>
      </w:tr>
      <w:tr w:rsidR="00B745AB" w:rsidTr="00230B21">
        <w:tc>
          <w:tcPr>
            <w:tcW w:w="1637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</w:rPr>
              <w:t xml:space="preserve">TyG</w:t>
            </w:r>
            <w:r>
              <w:rPr>
                <w:sz w:val="20"/>
                <w:szCs w:val="20"/>
                <w:rtl/>
              </w:rPr>
              <w:t xml:space="preserve"> به‌عنوان جایگزین </w:t>
            </w:r>
            <w:r>
              <w:rPr>
                <w:sz w:val="20"/>
                <w:szCs w:val="20"/>
              </w:rPr>
              <w:t xml:space="preserve">HOMA-IR</w:t>
            </w:r>
          </w:p>
        </w:tc>
        <w:tc>
          <w:tcPr>
            <w:tcW w:w="4396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</w:rPr>
              <w:t xml:space="preserve">TyG</w:t>
            </w:r>
            <w:r>
              <w:rPr>
                <w:sz w:val="20"/>
                <w:szCs w:val="20"/>
                <w:rtl/>
              </w:rPr>
              <w:t xml:space="preserve"> با کلمپ اعتبارسنجی شده و در دسترس‌تر از </w:t>
            </w:r>
            <w:r>
              <w:rPr>
                <w:sz w:val="20"/>
                <w:szCs w:val="20"/>
              </w:rPr>
              <w:t xml:space="preserve">HOMA-IR</w:t>
            </w:r>
            <w:r>
              <w:rPr>
                <w:sz w:val="20"/>
                <w:szCs w:val="20"/>
                <w:rtl/>
              </w:rPr>
              <w:t xml:space="preserve"> است</w:t>
            </w:r>
          </w:p>
        </w:tc>
        <w:tc>
          <w:tcPr>
            <w:tcW w:w="3645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 xml:space="preserve">توجیه انتخاب </w:t>
            </w:r>
            <w:r>
              <w:rPr>
                <w:sz w:val="20"/>
                <w:szCs w:val="20"/>
              </w:rPr>
              <w:t xml:space="preserve">TyG</w:t>
            </w:r>
            <w:r>
              <w:rPr>
                <w:sz w:val="20"/>
                <w:szCs w:val="20"/>
                <w:rtl/>
              </w:rPr>
              <w:t xml:space="preserve"> به‌جای </w:t>
            </w:r>
            <w:r>
              <w:rPr>
                <w:sz w:val="20"/>
                <w:szCs w:val="20"/>
              </w:rPr>
              <w:t xml:space="preserve">HOMA-IR</w:t>
            </w:r>
            <w:r>
              <w:rPr>
                <w:sz w:val="20"/>
                <w:szCs w:val="20"/>
                <w:rtl/>
              </w:rPr>
              <w:t xml:space="preserve"> در </w:t>
            </w:r>
            <w:r>
              <w:rPr>
                <w:sz w:val="20"/>
                <w:szCs w:val="20"/>
              </w:rPr>
              <w:t xml:space="preserve">TLGS</w:t>
            </w:r>
          </w:p>
        </w:tc>
      </w:tr>
      <w:tr w:rsidR="00B745AB" w:rsidTr="00230B21">
        <w:tc>
          <w:tcPr>
            <w:tcW w:w="1637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 xml:space="preserve">اعتبار </w:t>
            </w:r>
            <w:r>
              <w:rPr>
                <w:sz w:val="20"/>
                <w:szCs w:val="20"/>
              </w:rPr>
              <w:t xml:space="preserve">TyG</w:t>
            </w:r>
            <w:r>
              <w:rPr>
                <w:sz w:val="20"/>
                <w:szCs w:val="20"/>
                <w:rtl/>
              </w:rPr>
              <w:t xml:space="preserve"> در کودکان ایرانی</w:t>
            </w:r>
          </w:p>
        </w:tc>
        <w:tc>
          <w:tcPr>
            <w:tcW w:w="4396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</w:rPr>
              <w:t xml:space="preserve">CASPIAN-V</w:t>
            </w:r>
            <w:r>
              <w:rPr>
                <w:sz w:val="20"/>
                <w:szCs w:val="20"/>
                <w:rtl/>
              </w:rPr>
              <w:t xml:space="preserve"> آستانه ملی </w:t>
            </w:r>
            <w:r>
              <w:rPr>
                <w:sz w:val="20"/>
                <w:szCs w:val="20"/>
              </w:rPr>
              <w:t xml:space="preserve">TyG</w:t>
            </w:r>
            <w:r>
              <w:rPr>
                <w:sz w:val="20"/>
                <w:szCs w:val="20"/>
                <w:rtl/>
              </w:rPr>
              <w:t xml:space="preserve"> کودکان را تعیین کرده</w:t>
            </w:r>
          </w:p>
        </w:tc>
        <w:tc>
          <w:tcPr>
            <w:tcW w:w="3645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 xml:space="preserve">مبنای تعریف عملیاتی و تحلیل حساسیت طبقه‌ای</w:t>
            </w:r>
          </w:p>
        </w:tc>
      </w:tr>
      <w:tr w:rsidR="00B745AB" w:rsidTr="00230B21">
        <w:tc>
          <w:tcPr>
            <w:tcW w:w="1637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</w:rPr>
              <w:t xml:space="preserve">TyG trajectory</w:t>
            </w:r>
            <w:r>
              <w:rPr>
                <w:sz w:val="20"/>
                <w:szCs w:val="20"/>
                <w:rtl/>
              </w:rPr>
              <w:t xml:space="preserve"> و </w:t>
            </w:r>
            <w:r>
              <w:rPr>
                <w:sz w:val="20"/>
                <w:szCs w:val="20"/>
              </w:rPr>
              <w:t xml:space="preserve">CKD</w:t>
            </w:r>
            <w:r>
              <w:rPr>
                <w:sz w:val="20"/>
                <w:szCs w:val="20"/>
                <w:rtl/>
              </w:rPr>
              <w:t xml:space="preserve"> در </w:t>
            </w:r>
            <w:r>
              <w:rPr>
                <w:sz w:val="20"/>
                <w:szCs w:val="20"/>
              </w:rPr>
              <w:t xml:space="preserve">TLGS</w:t>
            </w:r>
          </w:p>
        </w:tc>
        <w:tc>
          <w:tcPr>
            <w:tcW w:w="4396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 xml:space="preserve">سیر بالای </w:t>
            </w:r>
            <w:r>
              <w:rPr>
                <w:sz w:val="20"/>
                <w:szCs w:val="20"/>
              </w:rPr>
              <w:t xml:space="preserve">TyG</w:t>
            </w:r>
            <w:r>
              <w:rPr>
                <w:sz w:val="20"/>
                <w:szCs w:val="20"/>
                <w:rtl/>
              </w:rPr>
              <w:t xml:space="preserve"> بزرگسالی با بروز </w:t>
            </w:r>
            <w:r>
              <w:rPr>
                <w:sz w:val="20"/>
                <w:szCs w:val="20"/>
              </w:rPr>
              <w:t xml:space="preserve">CKD</w:t>
            </w:r>
            <w:r>
              <w:rPr>
                <w:sz w:val="20"/>
                <w:szCs w:val="20"/>
                <w:rtl/>
              </w:rPr>
              <w:t xml:space="preserve"> در </w:t>
            </w:r>
            <w:r>
              <w:rPr>
                <w:sz w:val="20"/>
                <w:szCs w:val="20"/>
              </w:rPr>
              <w:t xml:space="preserve">TLGS</w:t>
            </w:r>
            <w:r>
              <w:rPr>
                <w:sz w:val="20"/>
                <w:szCs w:val="20"/>
                <w:rtl/>
              </w:rPr>
              <w:t xml:space="preserve"> مرتبط است</w:t>
            </w:r>
          </w:p>
        </w:tc>
        <w:tc>
          <w:tcPr>
            <w:tcW w:w="3645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 xml:space="preserve">امکان‌سنجی و پیش‌زمینه علمی مطالعه حاضر</w:t>
            </w:r>
          </w:p>
        </w:tc>
      </w:tr>
      <w:tr w:rsidR="00B745AB" w:rsidTr="00230B21">
        <w:tc>
          <w:tcPr>
            <w:tcW w:w="1637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 xml:space="preserve">خلأ کودکی/نوجوانی</w:t>
            </w:r>
          </w:p>
        </w:tc>
        <w:tc>
          <w:tcPr>
            <w:tcW w:w="4396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 xml:space="preserve">ارتباط </w:t>
            </w:r>
            <w:r>
              <w:rPr>
                <w:sz w:val="20"/>
                <w:szCs w:val="20"/>
              </w:rPr>
              <w:t xml:space="preserve">TyG</w:t>
            </w:r>
            <w:r>
              <w:rPr>
                <w:sz w:val="20"/>
                <w:szCs w:val="20"/>
                <w:rtl/>
              </w:rPr>
              <w:t xml:space="preserve"> کودکی/نوجوانی با پیامد کلیوی بزرگسالی بررسی نشده</w:t>
            </w:r>
          </w:p>
        </w:tc>
        <w:tc>
          <w:tcPr>
            <w:tcW w:w="3645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 xml:space="preserve">محور نوآوری مطالعه حاضر</w:t>
            </w:r>
          </w:p>
        </w:tc>
      </w:tr>
    </w:tbl>
    <w:p w:rsidR="00B86BBD" w:rsidRDefault="00B86BBD" w:rsidP="00B86BBD">
      <w:pPr>
        <w:bidi/>
        <w:spacing w:after="80"/>
        <w:jc w:val="center"/>
      </w:pPr>
    </w:p>
    <w:p w:rsidR="00B745AB" w:rsidRDefault="00000000" w:rsidP="00230B21">
      <w:pPr>
        <w:bidi/>
        <w:spacing w:before="240" w:after="100"/>
        <w:jc w:val="both"/>
      </w:pPr>
      <w:r>
        <w:rPr>
          <w:b/>
          <w:bCs/>
          <w:color w:val="1F497D"/>
          <w:sz w:val="26"/>
          <w:szCs w:val="26"/>
          <w:rtl/>
        </w:rPr>
        <w:t xml:space="preserve">۲-۸- اهداف و فرضیات پژوهش </w:t>
      </w:r>
      <w:r>
        <w:rPr>
          <w:b/>
          <w:bCs/>
          <w:color w:val="1F497D"/>
          <w:sz w:val="26"/>
          <w:szCs w:val="26"/>
        </w:rPr>
        <w:t xml:space="preserve">Objectives</w:t>
      </w:r>
      <w:r>
        <w:rPr>
          <w:b/>
          <w:bCs/>
          <w:color w:val="1F497D"/>
          <w:sz w:val="26"/>
          <w:szCs w:val="26"/>
          <w:rtl/>
        </w:rPr>
        <w:t xml:space="preserve"> &amp; </w:t>
      </w:r>
      <w:r>
        <w:rPr>
          <w:b/>
          <w:bCs/>
          <w:color w:val="1F497D"/>
          <w:sz w:val="26"/>
          <w:szCs w:val="26"/>
        </w:rPr>
        <w:t xml:space="preserve">Hypotheses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۲-۸-۱- هدف کلی </w:t>
      </w:r>
      <w:r>
        <w:rPr>
          <w:b/>
          <w:bCs/>
          <w:color w:val="000000"/>
          <w:sz w:val="23"/>
          <w:szCs w:val="23"/>
        </w:rPr>
        <w:t xml:space="preserve">General Objective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بررسی ارتباط شاخص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دوران کودکی و نوجوانی با سیر بلندمدت عملکرد کلیوی (</w:t>
      </w:r>
      <w:r>
        <w:rPr>
          <w:color w:val="000000"/>
        </w:rPr>
        <w:t xml:space="preserve">GFR Trajectory</w:t>
      </w:r>
      <w:r>
        <w:rPr>
          <w:color w:val="000000"/>
          <w:rtl/>
        </w:rPr>
        <w:t xml:space="preserve">) و بروز بیماری مزمن کلیه (</w:t>
      </w:r>
      <w:r>
        <w:rPr>
          <w:color w:val="000000"/>
        </w:rPr>
        <w:t xml:space="preserve">Incident CKD</w:t>
      </w:r>
      <w:r>
        <w:rPr>
          <w:color w:val="000000"/>
          <w:rtl/>
        </w:rPr>
        <w:t xml:space="preserve">) در بزرگسالی، در شرکت‌کنندگان مطالعه قند و لیپید تهران (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)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۲-۸-۲- اهداف اختصاصی </w:t>
      </w:r>
      <w:r>
        <w:rPr>
          <w:b/>
          <w:bCs/>
          <w:color w:val="000000"/>
          <w:sz w:val="23"/>
          <w:szCs w:val="23"/>
        </w:rPr>
        <w:t xml:space="preserve">Specific Objectives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</w:rPr>
        <w:t xml:space="preserve">1</w:t>
      </w:r>
      <w:r>
        <w:rPr>
          <w:color w:val="000000"/>
          <w:rtl/>
        </w:rPr>
        <w:t xml:space="preserve">. مقایسه سیر عملکرد کلیوی (شیب سالانه </w:t>
      </w:r>
      <w:r>
        <w:rPr>
          <w:color w:val="000000"/>
        </w:rPr>
        <w:t xml:space="preserve">eGFR</w:t>
      </w:r>
      <w:r>
        <w:rPr>
          <w:color w:val="000000"/>
          <w:rtl/>
        </w:rPr>
        <w:t xml:space="preserve">) بر حسب سطوح/کوارتیل‌های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دوران کودکی و نوجوانی در طول دوره پیگیری.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</w:rPr>
        <w:t xml:space="preserve">2</w:t>
      </w:r>
      <w:r>
        <w:rPr>
          <w:color w:val="000000"/>
          <w:rtl/>
        </w:rPr>
        <w:t xml:space="preserve">. بررسی ارتباط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دوران کودکی و نوجوانی (به‌صورت پیوسته و طبقه‌بندی‌شده) با بروز بیماری مزمن کلیه (</w:t>
      </w:r>
      <w:r>
        <w:rPr>
          <w:color w:val="000000"/>
        </w:rPr>
        <w:t xml:space="preserve">Incident CKD</w:t>
      </w:r>
      <w:r>
        <w:rPr>
          <w:color w:val="000000"/>
          <w:rtl/>
        </w:rPr>
        <w:t xml:space="preserve">) و کاهش سریع عملکرد کلیوی (</w:t>
      </w:r>
      <w:r>
        <w:rPr>
          <w:color w:val="000000"/>
        </w:rPr>
        <w:t xml:space="preserve">Rapid Renal Decline</w:t>
      </w:r>
      <w:r>
        <w:rPr>
          <w:color w:val="000000"/>
          <w:rtl/>
        </w:rPr>
        <w:t xml:space="preserve">) به‌عنوان پیامدهای ثانویه.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</w:rPr>
        <w:t xml:space="preserve">3</w:t>
      </w:r>
      <w:r>
        <w:rPr>
          <w:color w:val="000000"/>
          <w:rtl/>
        </w:rPr>
        <w:t xml:space="preserve">. ارزیابی استقلال ارتباط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با پیامدهای کلیوی از وضعیت وزن (</w:t>
      </w:r>
      <w:r>
        <w:rPr>
          <w:color w:val="000000"/>
        </w:rPr>
        <w:t xml:space="preserve">BMI-for-age z-score</w:t>
      </w:r>
      <w:r>
        <w:rPr>
          <w:color w:val="000000"/>
          <w:rtl/>
        </w:rPr>
        <w:t xml:space="preserve">) از طریق تعدیل مرحله‌ای و تحلیل اثر متقابل </w:t>
      </w:r>
      <w:r>
        <w:rPr>
          <w:color w:val="000000"/>
        </w:rPr>
        <w:t xml:space="preserve">TyG ×</w:t>
      </w:r>
      <w:r>
        <w:rPr>
          <w:color w:val="000000"/>
          <w:rtl/>
        </w:rPr>
        <w:t xml:space="preserve"> وضعیت وزن.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۲-۸-۳- اهداف کاربردی </w:t>
      </w:r>
      <w:r>
        <w:rPr>
          <w:b/>
          <w:bCs/>
          <w:color w:val="000000"/>
          <w:sz w:val="23"/>
          <w:szCs w:val="23"/>
        </w:rPr>
        <w:t xml:space="preserve">Applied Objectives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</w:rPr>
        <w:t xml:space="preserve">1</w:t>
      </w:r>
      <w:r>
        <w:rPr>
          <w:color w:val="000000"/>
          <w:rtl/>
        </w:rPr>
        <w:t xml:space="preserve">. شناسایی کودکان و نوجوانان در معرض خطر بالاتر افت عملکرد کلیوی بر اساس شاخص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، که نیازمند سنجش انسولین نیست.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</w:rPr>
        <w:t xml:space="preserve">2</w:t>
      </w:r>
      <w:r>
        <w:rPr>
          <w:color w:val="000000"/>
          <w:rtl/>
        </w:rPr>
        <w:t xml:space="preserve">. کمک به طراحی راهبردهای غربالگری متابولیک ساده و کم‌هزینه در کودکان و نوجوانان ایرانی، با استفاده از شاخصی که به‌راحتی از آزمایش‌های رایج محاسبه می‌شود.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</w:rPr>
        <w:t xml:space="preserve">3</w:t>
      </w:r>
      <w:r>
        <w:rPr>
          <w:color w:val="000000"/>
          <w:rtl/>
        </w:rPr>
        <w:t xml:space="preserve">. فراهم کردن شواهد بومی برای مداخلات پیشگیرانه زودهنگام با هدف کاهش بار بیماری مزمن کلیه در بزرگسالی.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</w:rPr>
        <w:t xml:space="preserve">4</w:t>
      </w:r>
      <w:r>
        <w:rPr>
          <w:color w:val="000000"/>
          <w:rtl/>
        </w:rPr>
        <w:t xml:space="preserve">. کمک به سیاست‌گذاری در حوزه پیشگیری از بیماری‌های غیرواگیر با تمرکز بر کودکی/نوجوانی به‌عنوان پنجره مداخله.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</w:rPr>
        <w:t xml:space="preserve">5</w:t>
      </w:r>
      <w:r>
        <w:rPr>
          <w:color w:val="000000"/>
          <w:rtl/>
        </w:rPr>
        <w:t xml:space="preserve">. ارائه داده‌های قابل استفاده برای متخصصان داخلی، نفرولوژیست‌ها، متخصصان غدد و اطفال در ارزیابی خطر کلیوی بر اساس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.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۲-۸-۴- فرضیات / سؤالات پژوهش </w:t>
      </w:r>
      <w:r>
        <w:rPr>
          <w:b/>
          <w:bCs/>
          <w:color w:val="000000"/>
          <w:sz w:val="23"/>
          <w:szCs w:val="23"/>
        </w:rPr>
        <w:t xml:space="preserve">Hypotheses / Questions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فرضیه اصلی: کودکان و نوجوانانی که در بالاترین سطح/کوارتیل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قرار دارند، در مقایسه با پایین‌ترین سطح، کاهش سریع‌تری در عملکرد کلیوی طی پیگیری بلندمدت و خطر بیشتری برای بروز </w:t>
      </w:r>
      <w:r>
        <w:rPr>
          <w:color w:val="000000"/>
        </w:rPr>
        <w:t xml:space="preserve">CKD</w:t>
      </w:r>
      <w:r>
        <w:rPr>
          <w:color w:val="000000"/>
          <w:rtl/>
        </w:rPr>
        <w:t xml:space="preserve"> خواهند داشت.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فرضیات اختصاصی: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</w:rPr>
        <w:t xml:space="preserve">1</w:t>
      </w:r>
      <w:r>
        <w:rPr>
          <w:color w:val="000000"/>
          <w:rtl/>
        </w:rPr>
        <w:t xml:space="preserve">. رابطه دوز-پاسخ بین مقدار پیوسته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و شیب کاهش </w:t>
      </w:r>
      <w:r>
        <w:rPr>
          <w:color w:val="000000"/>
        </w:rPr>
        <w:t xml:space="preserve">eGFR</w:t>
      </w:r>
      <w:r>
        <w:rPr>
          <w:color w:val="000000"/>
          <w:rtl/>
        </w:rPr>
        <w:t xml:space="preserve"> وجود دارد.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</w:rPr>
        <w:t xml:space="preserve">2</w:t>
      </w:r>
      <w:r>
        <w:rPr>
          <w:color w:val="000000"/>
          <w:rtl/>
        </w:rPr>
        <w:t xml:space="preserve">. گروه بالاترین کوارتیل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در مقایسه با پایین‌ترین کوارتیل، بیشترین خطر بروز </w:t>
      </w:r>
      <w:r>
        <w:rPr>
          <w:color w:val="000000"/>
        </w:rPr>
        <w:t xml:space="preserve">CKD</w:t>
      </w:r>
      <w:r>
        <w:rPr>
          <w:color w:val="000000"/>
          <w:rtl/>
        </w:rPr>
        <w:t xml:space="preserve"> را خواهد داشت.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</w:rPr>
        <w:t xml:space="preserve">3</w:t>
      </w:r>
      <w:r>
        <w:rPr>
          <w:color w:val="000000"/>
          <w:rtl/>
        </w:rPr>
        <w:t xml:space="preserve">. ارتباط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با شیب </w:t>
      </w:r>
      <w:r>
        <w:rPr>
          <w:color w:val="000000"/>
        </w:rPr>
        <w:t xml:space="preserve">eGFR</w:t>
      </w:r>
      <w:r>
        <w:rPr>
          <w:color w:val="000000"/>
          <w:rtl/>
        </w:rPr>
        <w:t xml:space="preserve"> و بروز </w:t>
      </w:r>
      <w:r>
        <w:rPr>
          <w:color w:val="000000"/>
        </w:rPr>
        <w:t xml:space="preserve">CKD</w:t>
      </w:r>
      <w:r>
        <w:rPr>
          <w:color w:val="000000"/>
          <w:rtl/>
        </w:rPr>
        <w:t xml:space="preserve"> مستقل از </w:t>
      </w:r>
      <w:r>
        <w:rPr>
          <w:color w:val="000000"/>
        </w:rPr>
        <w:t xml:space="preserve">BMI-for-age z-score</w:t>
      </w:r>
      <w:r>
        <w:rPr>
          <w:color w:val="000000"/>
          <w:rtl/>
        </w:rPr>
        <w:t xml:space="preserve"> باقی خواهد ماند.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</w:rPr>
        <w:t xml:space="preserve">4</w:t>
      </w:r>
      <w:r>
        <w:rPr>
          <w:color w:val="000000"/>
          <w:rtl/>
        </w:rPr>
        <w:t xml:space="preserve">. اثر متقابل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و وضعیت وزن (اضافه‌وزن/چاقی) بخشی از تفاوت خطر کلیوی بین افراد را توضیح می‌دهد.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سؤال محوری پژوهش: آیا شاخص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دوران کودکی و نوجوانی، مستقل از وضعیت وزن، پیش‌بینی‌کننده مستقلی برای افت عملکرد کلیوی در بزرگسالی است؟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نوآوری پژوهش </w:t>
      </w:r>
      <w:r>
        <w:rPr>
          <w:b/>
          <w:bCs/>
          <w:color w:val="000000"/>
          <w:sz w:val="23"/>
          <w:szCs w:val="23"/>
        </w:rPr>
        <w:t xml:space="preserve">Innovation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</w:rPr>
        <w:t xml:space="preserve">1</w:t>
      </w:r>
      <w:r>
        <w:rPr>
          <w:color w:val="000000"/>
          <w:rtl/>
        </w:rPr>
        <w:t xml:space="preserve">. این مطالعه، بر اساس طراحی پیشنهادی، نخستین پژوهش طولی خواهد بود که ارتباط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دوران کودکی و نوجوانی را با سیر بلندمدت عملکرد کلیوی و بروز </w:t>
      </w:r>
      <w:r>
        <w:rPr>
          <w:color w:val="000000"/>
        </w:rPr>
        <w:t xml:space="preserve">CKD</w:t>
      </w:r>
      <w:r>
        <w:rPr>
          <w:color w:val="000000"/>
          <w:rtl/>
        </w:rPr>
        <w:t xml:space="preserve"> در بزرگسالی بررسی می‌کند.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</w:rPr>
        <w:t xml:space="preserve">2</w:t>
      </w:r>
      <w:r>
        <w:rPr>
          <w:color w:val="000000"/>
          <w:rtl/>
        </w:rPr>
        <w:t xml:space="preserve">. استفاده از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به‌جای </w:t>
      </w:r>
      <w:r>
        <w:rPr>
          <w:color w:val="000000"/>
        </w:rPr>
        <w:t xml:space="preserve">HOMA-IR</w:t>
      </w:r>
      <w:r>
        <w:rPr>
          <w:color w:val="000000"/>
          <w:rtl/>
        </w:rPr>
        <w:t xml:space="preserve">، امکان بهره‌برداری کامل از ظرفیت داده‌های موجود 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 را فراهم می‌کند، بدون وابستگی به سنجش انسولین که در فازهای کودکی/نوجوانی به‌اندازه کافی در دسترس نیست.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</w:rPr>
        <w:t xml:space="preserve">3</w:t>
      </w:r>
      <w:r>
        <w:rPr>
          <w:color w:val="000000"/>
          <w:rtl/>
        </w:rPr>
        <w:t xml:space="preserve">. مطالعه حاضر یافته‌های پیشین 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 درباره سیر تغییرات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بزرگسالی و </w:t>
      </w:r>
      <w:r>
        <w:rPr>
          <w:color w:val="000000"/>
        </w:rPr>
        <w:t xml:space="preserve">CKD</w:t>
      </w:r>
      <w:r>
        <w:rPr>
          <w:color w:val="000000"/>
          <w:rtl/>
        </w:rPr>
        <w:t xml:space="preserve"> [۳] را با افزودن بعد زمانی کودکی به بزرگسالی تکمیل می‌کند.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</w:rPr>
        <w:t xml:space="preserve">4</w:t>
      </w:r>
      <w:r>
        <w:rPr>
          <w:color w:val="000000"/>
          <w:rtl/>
        </w:rPr>
        <w:t xml:space="preserve">. بررسی استقلال اثر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از </w:t>
      </w:r>
      <w:r>
        <w:rPr>
          <w:color w:val="000000"/>
        </w:rPr>
        <w:t xml:space="preserve">BMI-for-age</w:t>
      </w:r>
      <w:r>
        <w:rPr>
          <w:color w:val="000000"/>
          <w:rtl/>
        </w:rPr>
        <w:t xml:space="preserve"> امکان پاسخ به این سؤال را فراهم می‌کند که آیا مقاومت انسولینی، فراتر از وزن بدن، نقش مستقلی در خطر کلیوی دارد.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نتایج مورد انتظار </w:t>
      </w:r>
      <w:r>
        <w:rPr>
          <w:b/>
          <w:bCs/>
          <w:color w:val="000000"/>
          <w:sz w:val="23"/>
          <w:szCs w:val="23"/>
        </w:rPr>
        <w:t xml:space="preserve">Expected Results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انتظار می‌رود کودکان/نوجوانان با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بالاتر، شیب کاهشی </w:t>
      </w:r>
      <w:r>
        <w:rPr>
          <w:color w:val="000000"/>
        </w:rPr>
        <w:t xml:space="preserve">eGFR</w:t>
      </w:r>
      <w:r>
        <w:rPr>
          <w:color w:val="000000"/>
          <w:rtl/>
        </w:rPr>
        <w:t xml:space="preserve"> تندتر و خطر بیشتری برای بروز </w:t>
      </w:r>
      <w:r>
        <w:rPr>
          <w:color w:val="000000"/>
        </w:rPr>
        <w:t xml:space="preserve">CKD</w:t>
      </w:r>
      <w:r>
        <w:rPr>
          <w:color w:val="000000"/>
          <w:rtl/>
        </w:rPr>
        <w:t xml:space="preserve"> در بزرگسالی نشان دهند و این ارتباط، دست‌کم تا حدی، مستقل از وضعیت وزن باقی بماند. در صورت تأیید، این یافته‌ها از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به‌عنوان ابزار غربالگری ساده و در دسترس برای شناسایی کودکان و نوجوانان پرخطر کلیوی حمایت خواهند کرد.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جدول خلاصه هدف، پیامدها و روش تحلیل پیشنهادی:</w:t>
      </w:r>
    </w:p>
    <w:tbl>
      <w:tblPr>
        <w:tblStyle w:val="a3"/>
        <w:bidiVisual/>
        <w:tblW w:w="96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18"/>
        <w:gridCol w:w="2771"/>
        <w:gridCol w:w="1944"/>
        <w:gridCol w:w="2045"/>
      </w:tblGrid>
      <w:tr w:rsidR="00B745AB" w:rsidTr="00230B21">
        <w:tc>
          <w:tcPr>
            <w:tcW w:w="2918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>هدف</w:t>
            </w:r>
          </w:p>
        </w:tc>
        <w:tc>
          <w:tcPr>
            <w:tcW w:w="2771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>متغیر/پیامد اصلی</w:t>
            </w:r>
          </w:p>
        </w:tc>
        <w:tc>
          <w:tcPr>
            <w:tcW w:w="1944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>گروه مرجع</w:t>
            </w:r>
          </w:p>
        </w:tc>
        <w:tc>
          <w:tcPr>
            <w:tcW w:w="2045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>روش تحلیل پیشنهادی</w:t>
            </w:r>
          </w:p>
        </w:tc>
      </w:tr>
      <w:tr w:rsidR="00B745AB" w:rsidTr="00230B21">
        <w:tc>
          <w:tcPr>
            <w:tcW w:w="2918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20"/>
                <w:szCs w:val="20"/>
                <w:rtl/>
              </w:rPr>
              <w:t xml:space="preserve">مقایسه سیر عملکرد کلیوی بر حسب </w:t>
            </w:r>
            <w:r>
              <w:rPr>
                <w:sz w:val="20"/>
                <w:szCs w:val="20"/>
              </w:rPr>
              <w:t xml:space="preserve">TyG</w:t>
            </w:r>
          </w:p>
        </w:tc>
        <w:tc>
          <w:tcPr>
            <w:tcW w:w="2771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20"/>
                <w:szCs w:val="20"/>
              </w:rPr>
              <w:t xml:space="preserve">eGFR</w:t>
            </w:r>
            <w:r>
              <w:rPr>
                <w:sz w:val="20"/>
                <w:szCs w:val="20"/>
                <w:rtl/>
              </w:rPr>
              <w:t xml:space="preserve"> در طول زمان (شیب سالانه)</w:t>
            </w:r>
          </w:p>
        </w:tc>
        <w:tc>
          <w:tcPr>
            <w:tcW w:w="1944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20"/>
                <w:szCs w:val="20"/>
                <w:rtl/>
              </w:rPr>
              <w:t xml:space="preserve">کوارتیل ۱ </w:t>
            </w:r>
            <w:r>
              <w:rPr>
                <w:sz w:val="20"/>
                <w:szCs w:val="20"/>
              </w:rPr>
              <w:t xml:space="preserve">TyG</w:t>
            </w:r>
          </w:p>
        </w:tc>
        <w:tc>
          <w:tcPr>
            <w:tcW w:w="2045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20"/>
                <w:szCs w:val="20"/>
              </w:rPr>
              <w:t xml:space="preserve">Linear Mixed Effects Model</w:t>
            </w:r>
          </w:p>
        </w:tc>
      </w:tr>
      <w:tr w:rsidR="00B745AB" w:rsidTr="00230B21">
        <w:tc>
          <w:tcPr>
            <w:tcW w:w="2918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20"/>
                <w:szCs w:val="20"/>
                <w:rtl/>
              </w:rPr>
              <w:t xml:space="preserve">بررسی بروز </w:t>
            </w:r>
            <w:r>
              <w:rPr>
                <w:sz w:val="20"/>
                <w:szCs w:val="20"/>
              </w:rPr>
              <w:t xml:space="preserve">CKD</w:t>
            </w:r>
            <w:r>
              <w:rPr>
                <w:sz w:val="20"/>
                <w:szCs w:val="20"/>
                <w:rtl/>
              </w:rPr>
              <w:t xml:space="preserve"> و کاهش سریع</w:t>
            </w:r>
          </w:p>
        </w:tc>
        <w:tc>
          <w:tcPr>
            <w:tcW w:w="2771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20"/>
                <w:szCs w:val="20"/>
              </w:rPr>
              <w:t xml:space="preserve">Incident CKD / Rapid Decline</w:t>
            </w:r>
          </w:p>
        </w:tc>
        <w:tc>
          <w:tcPr>
            <w:tcW w:w="1944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20"/>
                <w:szCs w:val="20"/>
                <w:rtl/>
              </w:rPr>
              <w:t xml:space="preserve">کوارتیل ۱ </w:t>
            </w:r>
            <w:r>
              <w:rPr>
                <w:sz w:val="20"/>
                <w:szCs w:val="20"/>
              </w:rPr>
              <w:t xml:space="preserve">TyG</w:t>
            </w:r>
          </w:p>
        </w:tc>
        <w:tc>
          <w:tcPr>
            <w:tcW w:w="2045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20"/>
                <w:szCs w:val="20"/>
              </w:rPr>
              <w:t xml:space="preserve">Cox Regression / Logistic Regression</w:t>
            </w:r>
          </w:p>
        </w:tc>
      </w:tr>
      <w:tr w:rsidR="00B745AB" w:rsidTr="00230B21">
        <w:tc>
          <w:tcPr>
            <w:tcW w:w="2918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20"/>
                <w:szCs w:val="20"/>
                <w:rtl/>
              </w:rPr>
              <w:t xml:space="preserve">ارزیابی استقلال از وضعیت وزن</w:t>
            </w:r>
          </w:p>
        </w:tc>
        <w:tc>
          <w:tcPr>
            <w:tcW w:w="2771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20"/>
                <w:szCs w:val="20"/>
                <w:rtl/>
              </w:rPr>
              <w:t xml:space="preserve">اثر متقابل </w:t>
            </w:r>
            <w:r>
              <w:rPr>
                <w:sz w:val="20"/>
                <w:szCs w:val="20"/>
              </w:rPr>
              <w:t xml:space="preserve">TyG × BMI-for-age</w:t>
            </w:r>
          </w:p>
        </w:tc>
        <w:tc>
          <w:tcPr>
            <w:tcW w:w="1944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20"/>
                <w:szCs w:val="20"/>
                <w:rtl/>
              </w:rPr>
              <w:t xml:space="preserve">وزن نرمال، کوارتیل ۱ </w:t>
            </w:r>
            <w:r>
              <w:rPr>
                <w:sz w:val="20"/>
                <w:szCs w:val="20"/>
              </w:rPr>
              <w:t xml:space="preserve">TyG</w:t>
            </w:r>
          </w:p>
        </w:tc>
        <w:tc>
          <w:tcPr>
            <w:tcW w:w="2045" w:type="dxa"/>
            <w:vAlign w:val="center"/>
          </w:tcPr>
          <w:p w:rsidR="00914CBE" w:rsidRDefault="00000000" w:rsidP="00230B21">
            <w:pPr>
              <w:bidi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Interaction Analysis</w:t>
            </w:r>
          </w:p>
        </w:tc>
      </w:tr>
      <w:tr w:rsidR="00B745AB" w:rsidTr="00230B21">
        <w:tc>
          <w:tcPr>
            <w:tcW w:w="2918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20"/>
                <w:szCs w:val="20"/>
                <w:rtl/>
              </w:rPr>
              <w:t xml:space="preserve">مقایسه اهمیت </w:t>
            </w:r>
            <w:r>
              <w:rPr>
                <w:sz w:val="20"/>
                <w:szCs w:val="20"/>
              </w:rPr>
              <w:t xml:space="preserve">TyG</w:t>
            </w:r>
            <w:r>
              <w:rPr>
                <w:sz w:val="20"/>
                <w:szCs w:val="20"/>
                <w:rtl/>
              </w:rPr>
              <w:t xml:space="preserve"> پیوسته در برابر طبقه‌ای</w:t>
            </w:r>
          </w:p>
        </w:tc>
        <w:tc>
          <w:tcPr>
            <w:tcW w:w="2771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20"/>
                <w:szCs w:val="20"/>
                <w:rtl/>
              </w:rPr>
              <w:t xml:space="preserve">شیب </w:t>
            </w:r>
            <w:r>
              <w:rPr>
                <w:sz w:val="20"/>
                <w:szCs w:val="20"/>
              </w:rPr>
              <w:t xml:space="preserve">eGFR / Incident CKD</w:t>
            </w:r>
          </w:p>
        </w:tc>
        <w:tc>
          <w:tcPr>
            <w:tcW w:w="1944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20"/>
                <w:szCs w:val="20"/>
                <w:rtl/>
              </w:rPr>
              <w:t xml:space="preserve">—</w:t>
            </w:r>
          </w:p>
        </w:tc>
        <w:tc>
          <w:tcPr>
            <w:tcW w:w="2045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20"/>
                <w:szCs w:val="20"/>
                <w:rtl/>
              </w:rPr>
              <w:t xml:space="preserve">مدل‌های تعدیل‌شده مرحله‌ای</w:t>
            </w:r>
          </w:p>
        </w:tc>
      </w:tr>
    </w:tbl>
    <w:p w:rsidR="00B86BBD" w:rsidRDefault="00B86BBD" w:rsidP="00B86BBD">
      <w:pPr>
        <w:bidi/>
        <w:spacing w:after="80"/>
        <w:jc w:val="center"/>
      </w:pPr>
    </w:p>
    <w:p w:rsidR="00B745AB" w:rsidRDefault="00000000" w:rsidP="00230B21">
      <w:pPr>
        <w:bidi/>
        <w:spacing w:after="100"/>
        <w:ind w:firstLine="283"/>
        <w:jc w:val="both"/>
      </w:pPr>
      <w:r>
        <w:rPr>
          <w:i/>
          <w:iCs/>
          <w:color w:val="555555"/>
          <w:sz w:val="20"/>
          <w:szCs w:val="20"/>
          <w:rtl/>
        </w:rPr>
        <w:t xml:space="preserve">یادداشت روش‌شناختی وابسته به داده‌های </w:t>
      </w:r>
      <w:r>
        <w:rPr>
          <w:i/>
          <w:iCs/>
          <w:color w:val="555555"/>
          <w:sz w:val="20"/>
          <w:szCs w:val="20"/>
        </w:rPr>
        <w:t xml:space="preserve">TLGS</w:t>
      </w:r>
      <w:r>
        <w:rPr>
          <w:i/>
          <w:iCs/>
          <w:color w:val="555555"/>
          <w:sz w:val="20"/>
          <w:szCs w:val="20"/>
          <w:rtl/>
        </w:rPr>
        <w:t xml:space="preserve">: توزیع واقعی </w:t>
      </w:r>
      <w:r>
        <w:rPr>
          <w:i/>
          <w:iCs/>
          <w:color w:val="555555"/>
          <w:sz w:val="20"/>
          <w:szCs w:val="20"/>
        </w:rPr>
        <w:t xml:space="preserve">TyG</w:t>
      </w:r>
      <w:r>
        <w:rPr>
          <w:i/>
          <w:iCs/>
          <w:color w:val="555555"/>
          <w:sz w:val="20"/>
          <w:szCs w:val="20"/>
          <w:rtl/>
        </w:rPr>
        <w:t xml:space="preserve">، تعداد نهایی افراد در هر کوارتیل، معادله نهایی </w:t>
      </w:r>
      <w:r>
        <w:rPr>
          <w:i/>
          <w:iCs/>
          <w:color w:val="555555"/>
          <w:sz w:val="20"/>
          <w:szCs w:val="20"/>
        </w:rPr>
        <w:t xml:space="preserve">eGFR</w:t>
      </w:r>
      <w:r>
        <w:rPr>
          <w:i/>
          <w:iCs/>
          <w:color w:val="555555"/>
          <w:sz w:val="20"/>
          <w:szCs w:val="20"/>
          <w:rtl/>
        </w:rPr>
        <w:t xml:space="preserve"> و الگوی داده‌های گمشده، مطابق داده‌های موجود در پایگاه </w:t>
      </w:r>
      <w:r>
        <w:rPr>
          <w:i/>
          <w:iCs/>
          <w:color w:val="555555"/>
          <w:sz w:val="20"/>
          <w:szCs w:val="20"/>
        </w:rPr>
        <w:t xml:space="preserve">TLGS</w:t>
      </w:r>
      <w:r>
        <w:rPr>
          <w:i/>
          <w:iCs/>
          <w:color w:val="555555"/>
          <w:sz w:val="20"/>
          <w:szCs w:val="20"/>
          <w:rtl/>
        </w:rPr>
        <w:t xml:space="preserve"> و در زمان استخراج داده نهایی مشخص خواهد شد.</w:t>
      </w:r>
    </w:p>
    <w:p w:rsidR="00B86BBD" w:rsidRDefault="00B86BBD" w:rsidP="00B86BBD">
      <w:pPr>
        <w:bidi/>
        <w:spacing w:after="80"/>
        <w:jc w:val="center"/>
      </w:pPr>
    </w:p>
    <w:p w:rsidR="00B745AB" w:rsidRDefault="00000000" w:rsidP="00230B21">
      <w:pPr>
        <w:bidi/>
        <w:spacing w:before="240" w:after="100"/>
        <w:jc w:val="both"/>
      </w:pPr>
      <w:r>
        <w:rPr>
          <w:b/>
          <w:bCs/>
          <w:color w:val="1F497D"/>
          <w:sz w:val="26"/>
          <w:szCs w:val="26"/>
          <w:rtl/>
        </w:rPr>
        <w:t xml:space="preserve">۲-۹- روش و تکنیک و نحوه اجرای مطالعه </w:t>
      </w:r>
      <w:r>
        <w:rPr>
          <w:b/>
          <w:bCs/>
          <w:color w:val="1F497D"/>
          <w:sz w:val="26"/>
          <w:szCs w:val="26"/>
        </w:rPr>
        <w:t xml:space="preserve">Method of Research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۲-۹-۱- طراحی و روش اجرای پروژه </w:t>
      </w:r>
      <w:r>
        <w:rPr>
          <w:b/>
          <w:bCs/>
          <w:color w:val="000000"/>
          <w:sz w:val="23"/>
          <w:szCs w:val="23"/>
        </w:rPr>
        <w:t xml:space="preserve">Study Design</w:t>
      </w:r>
      <w:r>
        <w:rPr>
          <w:b/>
          <w:bCs/>
          <w:color w:val="000000"/>
          <w:sz w:val="23"/>
          <w:szCs w:val="23"/>
          <w:rtl/>
        </w:rPr>
        <w:t xml:space="preserve"> &amp; </w:t>
      </w:r>
      <w:r>
        <w:rPr>
          <w:b/>
          <w:bCs/>
          <w:color w:val="000000"/>
          <w:sz w:val="23"/>
          <w:szCs w:val="23"/>
        </w:rPr>
        <w:t xml:space="preserve">Method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مطالعه حاضر یک تحلیل طولی مبتنی بر داده‌های کوهورت مطالعه قند و لیپید تهران (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) است. در این پژوهش، شاخص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شرکت‌کنندگان در دوران کودکی و نوجوانی به‌عنوان مواجهه پایه تعریف می‌شود و ارتباط آن با سیر بلندمدت عملکرد کلیوی در طول دوره پیگیری بررسی خواهد شد.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از نظر جهت زمانی، مواجهه در دوره کودکی/نوجوانی تعیین شده و پیامدهای کلیوی در ویزیت‌های بعدی دنبال می‌شوند؛ بنابراین اصل تقدم زمانی مواجهه نسبت به پیامد حفظ می‌شود. ماهیت مطالعه، تحلیل ثانویه داده‌های موجود 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 است و هیچ مداخله، نمونه‌گیری جدید یا تماس مستقیم با شرکت‌کنندگان انجام نخواهد شد.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طراحی اصلی تحلیل بر پایه مقدار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در اولین ویزیت واجد شرایط کودکی/نوجوانی خواهد بود. در صورت کفایت داده‌ها، تحلیل‌های حساسیت بر اساس تغییر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در طول زمان (</w:t>
      </w:r>
      <w:r>
        <w:rPr>
          <w:color w:val="000000"/>
        </w:rPr>
        <w:t xml:space="preserve">time-varying</w:t>
      </w:r>
      <w:r>
        <w:rPr>
          <w:color w:val="000000"/>
          <w:rtl/>
        </w:rPr>
        <w:t xml:space="preserve">) نیز بررسی خواهد شد.</w:t>
      </w:r>
    </w:p>
    <w:p w:rsidR="00B86BBD" w:rsidRDefault="00B86BBD" w:rsidP="00B86BBD">
      <w:pPr>
        <w:bidi/>
        <w:spacing w:after="80"/>
        <w:jc w:val="center"/>
      </w:pP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۲-۹-۲- نوع مطالعه </w:t>
      </w:r>
      <w:r>
        <w:rPr>
          <w:b/>
          <w:bCs/>
          <w:color w:val="000000"/>
          <w:sz w:val="23"/>
          <w:szCs w:val="23"/>
        </w:rPr>
        <w:t xml:space="preserve">Type of Study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مطالعه از نوع تحلیلی، طولی و مبتنی بر کوهورت است: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</w:rPr>
        <w:t xml:space="preserve">Analytical Longitudinal Cohort Study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</w:rPr>
        <w:t xml:space="preserve">Secondary Analysis of TLGS Database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• </w:t>
      </w:r>
      <w:r>
        <w:rPr>
          <w:color w:val="000000"/>
        </w:rPr>
        <w:t xml:space="preserve">Historical/Prospective Cohort Data Analysis</w:t>
      </w:r>
      <w:r>
        <w:rPr>
          <w:color w:val="000000"/>
          <w:rtl/>
        </w:rPr>
        <w:t xml:space="preserve"> بر اساس داده‌های موجود و پیگیری‌های انجام‌شده در </w:t>
      </w:r>
      <w:r>
        <w:rPr>
          <w:color w:val="000000"/>
        </w:rPr>
        <w:t xml:space="preserve">TLGS</w:t>
      </w:r>
    </w:p>
    <w:p w:rsidR="00B86BBD" w:rsidRDefault="00B86BBD" w:rsidP="00B86BBD">
      <w:pPr>
        <w:bidi/>
        <w:spacing w:after="80"/>
        <w:jc w:val="center"/>
      </w:pP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۲-۹-۳- روش جمع‌آوری اطلاعات: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داده‌های مورد نیاز پس از اخذ مجوزهای لازم از پایگاه داده مطالعه قند و لیپید تهران استخراج خواهد شد. اطلاعات مورد استفاده شامل داده‌های دموگرافیک، آنتروپومتریک، بالینی، آزمایشگاهی و شاخص‌های کلیوی خواهد بود.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داده‌ها به‌صورت ناشناس و فاقد اطلاعات هویتی در اختیار پژوهشگر قرار خواهند گرفت. پس از دریافت داده‌ها، کنترل کیفیت اولیه، بررسی دامنه مقادیر، شناسایی داده‌های پرت، ارزیابی الگوی داده‌های گمشده و محاسبه </w:t>
      </w:r>
      <w:r>
        <w:rPr>
          <w:color w:val="000000"/>
        </w:rPr>
        <w:t xml:space="preserve">TyG Index</w:t>
      </w:r>
      <w:r>
        <w:rPr>
          <w:color w:val="000000"/>
          <w:rtl/>
        </w:rPr>
        <w:t xml:space="preserve"> انجام خواهد شد.</w:t>
      </w:r>
    </w:p>
    <w:p w:rsidR="00B86BBD" w:rsidRDefault="00B86BBD" w:rsidP="00B86BBD">
      <w:pPr>
        <w:bidi/>
        <w:spacing w:after="80"/>
        <w:jc w:val="center"/>
      </w:pP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۲-۹-۴- ابزار و روش جمع‌آوری اطلاعات </w:t>
      </w:r>
      <w:r>
        <w:rPr>
          <w:b/>
          <w:bCs/>
          <w:color w:val="000000"/>
          <w:sz w:val="23"/>
          <w:szCs w:val="23"/>
        </w:rPr>
        <w:t xml:space="preserve">Data Collection Techniques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در مطالعه 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 اندازه‌گیری‌ها بر اساس پروتکل‌های استاندارد و در فازهای پیگیری انجام شده‌اند. متغیرهای اصلی شامل موارد زیر است: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• داده‌های دموگرافیک: سن، جنس، فاز مطالعه و مدت پیگیری.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• داده‌های آنتروپومتریک: وزن، قد، شاخص توده بدنی، </w:t>
      </w:r>
      <w:r>
        <w:rPr>
          <w:color w:val="000000"/>
        </w:rPr>
        <w:t xml:space="preserve">BMI-for-age z-score (</w:t>
      </w:r>
      <w:r>
        <w:rPr>
          <w:color w:val="000000"/>
          <w:rtl/>
        </w:rPr>
        <w:t xml:space="preserve">مرجع </w:t>
      </w:r>
      <w:r>
        <w:rPr>
          <w:color w:val="000000"/>
        </w:rPr>
        <w:t xml:space="preserve">WHO</w:t>
      </w:r>
      <w:r>
        <w:rPr>
          <w:color w:val="000000"/>
          <w:rtl/>
        </w:rPr>
        <w:t xml:space="preserve">) و دور کمر.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• داده‌های بالینی: فشار خون سیستولیک و دیاستولیک.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• داده‌های آزمایشگاهی: تری‌گلیسیرید و گلوکز پلاسمای ناشتا (برای محاسبه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)، </w:t>
      </w:r>
      <w:r>
        <w:rPr>
          <w:color w:val="000000"/>
        </w:rPr>
        <w:t xml:space="preserve">HDL-C</w:t>
      </w:r>
      <w:r>
        <w:rPr>
          <w:color w:val="000000"/>
          <w:rtl/>
        </w:rPr>
        <w:t xml:space="preserve"> و کراتینین سرم.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• داده‌های کلیوی: </w:t>
      </w:r>
      <w:r>
        <w:rPr>
          <w:color w:val="000000"/>
        </w:rPr>
        <w:t xml:space="preserve">eGFR</w:t>
      </w:r>
      <w:r>
        <w:rPr>
          <w:color w:val="000000"/>
          <w:rtl/>
        </w:rPr>
        <w:t xml:space="preserve"> محاسبه‌شده در فازهای مختلف 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• داده‌های سبک زندگی و مخدوش‌کننده‌ها: فعالیت بدنی، سابقه خانوادگی دیابت/بیماری کلیوی و سایر متغیرهای قابل دسترس در 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.</w:t>
      </w:r>
    </w:p>
    <w:p w:rsidR="00B86BBD" w:rsidRDefault="00B86BBD" w:rsidP="00B86BBD">
      <w:pPr>
        <w:bidi/>
        <w:spacing w:after="80"/>
        <w:jc w:val="center"/>
      </w:pP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۲-۹-۵- جامعه مورد مطالعه: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جامعه مورد مطالعه شامل شرکت‌کنندگان 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 است که در زمان ارزیابی پایه در محدوده سنی کودکی/نوجوانی قرار داشته و داده‌های لازم برای محاسبه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و ارزیابی پیامدهای کلیوی در اختیار باشد.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معیارهای ورود: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• سن ۷ تا ۱۸ سال در اولین ویزیت واجد شرایط.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• وجود مقادیر معتبر تری‌گلیسیرید و گلوکز ناشتا برای محاسبه </w:t>
      </w:r>
      <w:r>
        <w:rPr>
          <w:color w:val="000000"/>
        </w:rPr>
        <w:t xml:space="preserve">TyG Index</w:t>
      </w:r>
      <w:r>
        <w:rPr>
          <w:color w:val="000000"/>
          <w:rtl/>
        </w:rPr>
        <w:t xml:space="preserve">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• وجود حداقل دو اندازه‌گیری </w:t>
      </w:r>
      <w:r>
        <w:rPr>
          <w:color w:val="000000"/>
        </w:rPr>
        <w:t xml:space="preserve">eGFR</w:t>
      </w:r>
      <w:r>
        <w:rPr>
          <w:color w:val="000000"/>
          <w:rtl/>
        </w:rPr>
        <w:t xml:space="preserve"> در طول پیگیری (برای مدل‌های </w:t>
      </w:r>
      <w:r>
        <w:rPr>
          <w:color w:val="000000"/>
        </w:rPr>
        <w:t xml:space="preserve">Linear Mixed Effects</w:t>
      </w:r>
      <w:r>
        <w:rPr>
          <w:color w:val="000000"/>
          <w:rtl/>
        </w:rPr>
        <w:t xml:space="preserve">) و حداقل سه اندازه‌گیری برای برآورد شیب فردی.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• وجود رضایت‌نامه آگاهانه در چارچوب مطالعه 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معیارهای خروج: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• وجود بیماری کلیوی شناخته‌شده یا </w:t>
      </w:r>
      <w:r>
        <w:rPr>
          <w:color w:val="000000"/>
        </w:rPr>
        <w:t xml:space="preserve">eGFR</w:t>
      </w:r>
      <w:r>
        <w:rPr>
          <w:color w:val="000000"/>
          <w:rtl/>
        </w:rPr>
        <w:t xml:space="preserve"> کمتر از </w:t>
      </w:r>
      <w:r>
        <w:rPr>
          <w:color w:val="000000"/>
        </w:rPr>
        <w:t xml:space="preserve">60 mL/min/1.73m²</w:t>
      </w:r>
      <w:r>
        <w:rPr>
          <w:color w:val="000000"/>
          <w:rtl/>
        </w:rPr>
        <w:t xml:space="preserve"> در ابتدای مطالعه، در تحلیل </w:t>
      </w:r>
      <w:r>
        <w:rPr>
          <w:color w:val="000000"/>
        </w:rPr>
        <w:t xml:space="preserve">Incident CKD</w:t>
      </w:r>
      <w:r>
        <w:rPr>
          <w:color w:val="000000"/>
          <w:rtl/>
        </w:rPr>
        <w:t xml:space="preserve">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• دیابت شناخته‌شده یا قند خون ناشتای در محدوده تشخیصی دیابت در ویزیت پایه، به دلیل اثر مستقیم آن بر گلوکز جزء فرمول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• داده‌های ناکافی یا غیرقابل اعتماد برای محاسبه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یا پیامدهای اصلی کلیوی.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• شرایط خاصی که بر اساس پروتکل 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 یا بررسی دیتاست نهایی، مانع تحلیل معتبر شود.</w:t>
      </w:r>
    </w:p>
    <w:p w:rsidR="00B86BBD" w:rsidRDefault="00B86BBD" w:rsidP="00B86BBD">
      <w:pPr>
        <w:bidi/>
        <w:spacing w:after="80"/>
        <w:jc w:val="center"/>
      </w:pP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۲-۹-۶- روش نمونه‌گیری و محاسبه اندازه نمونه (</w:t>
      </w:r>
      <w:r>
        <w:rPr>
          <w:b/>
          <w:bCs/>
          <w:color w:val="000000"/>
          <w:sz w:val="23"/>
          <w:szCs w:val="23"/>
        </w:rPr>
        <w:t xml:space="preserve">Sampling Method</w:t>
      </w:r>
      <w:r>
        <w:rPr>
          <w:b/>
          <w:bCs/>
          <w:color w:val="000000"/>
          <w:sz w:val="23"/>
          <w:szCs w:val="23"/>
          <w:rtl/>
        </w:rPr>
        <w:t xml:space="preserve"> &amp; </w:t>
      </w:r>
      <w:r>
        <w:rPr>
          <w:b/>
          <w:bCs/>
          <w:color w:val="000000"/>
          <w:sz w:val="23"/>
          <w:szCs w:val="23"/>
        </w:rPr>
        <w:t xml:space="preserve">Sample Size Calculation</w:t>
      </w:r>
      <w:r>
        <w:rPr>
          <w:b/>
          <w:bCs/>
          <w:color w:val="000000"/>
          <w:sz w:val="23"/>
          <w:szCs w:val="23"/>
          <w:rtl/>
        </w:rPr>
        <w:t xml:space="preserve">):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در این مطالعه از روش سرشماری کامل واجدین شرایط (</w:t>
      </w:r>
      <w:r>
        <w:rPr>
          <w:color w:val="000000"/>
        </w:rPr>
        <w:t xml:space="preserve">Census Sampling</w:t>
      </w:r>
      <w:r>
        <w:rPr>
          <w:color w:val="000000"/>
          <w:rtl/>
        </w:rPr>
        <w:t xml:space="preserve">) استفاده خواهد شد. به دلیل ماهیت کوهورتی و تحلیل ثانویه داده‌های موجود، جذب نمونه جدید انجام نمی‌شود و تمامی شرکت‌کنندگان واجد شرایط در پایگاه داده 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 وارد تحلیل خواهند شد.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حجم نمونه نهایی بر اساس تعداد واقعی افراد واجد شرایط در پایگاه داده پس از استخراج داده‌ها تعیین خواهد شد. پس از استخراج داده‌ها، محاسبه توان آماری </w:t>
      </w:r>
      <w:r>
        <w:rPr>
          <w:color w:val="000000"/>
        </w:rPr>
        <w:t xml:space="preserve">post-hoc</w:t>
      </w:r>
      <w:r>
        <w:rPr>
          <w:color w:val="000000"/>
          <w:rtl/>
        </w:rPr>
        <w:t xml:space="preserve"> برای پیامدهای اصلی و ثانویه انجام خواهد شد.</w:t>
      </w: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تعریف مواجهه اصلی </w:t>
      </w:r>
      <w:r>
        <w:rPr>
          <w:b/>
          <w:bCs/>
          <w:color w:val="000000"/>
          <w:sz w:val="23"/>
          <w:szCs w:val="23"/>
        </w:rPr>
        <w:t xml:space="preserve">Exposure Definition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مواجهه اصلی مطالعه، شاخص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در دوران کودکی و نوجوانی است که در اولین ویزیت واجد شرایط به‌عنوان </w:t>
      </w:r>
      <w:r>
        <w:rPr>
          <w:color w:val="000000"/>
        </w:rPr>
        <w:t xml:space="preserve">baseline TyG</w:t>
      </w:r>
      <w:r>
        <w:rPr>
          <w:color w:val="000000"/>
          <w:rtl/>
        </w:rPr>
        <w:t xml:space="preserve"> تعریف خواهد شد؛ محاسبه بر اساس </w:t>
      </w:r>
      <w:r>
        <w:rPr>
          <w:color w:val="000000"/>
        </w:rPr>
        <w:t xml:space="preserve">Ln</w:t>
      </w:r>
      <w:r>
        <w:rPr>
          <w:color w:val="000000"/>
          <w:rtl/>
        </w:rPr>
        <w:t xml:space="preserve">[تری‌گلیسیرید ناشتا (</w:t>
      </w:r>
      <w:r>
        <w:rPr>
          <w:color w:val="000000"/>
        </w:rPr>
        <w:t xml:space="preserve">mg/dL) ×</w:t>
      </w:r>
      <w:r>
        <w:rPr>
          <w:color w:val="000000"/>
          <w:rtl/>
        </w:rPr>
        <w:t xml:space="preserve"> گلوکز ناشتا (</w:t>
      </w:r>
      <w:r>
        <w:rPr>
          <w:color w:val="000000"/>
        </w:rPr>
        <w:t xml:space="preserve">mg/dL)/</w:t>
      </w:r>
      <w:r>
        <w:rPr>
          <w:color w:val="000000"/>
          <w:rtl/>
        </w:rPr>
        <w:t xml:space="preserve">۲] [۱].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</w:rPr>
        <w:t xml:space="preserve">TyG</w:t>
      </w:r>
      <w:r>
        <w:rPr>
          <w:color w:val="000000"/>
          <w:rtl/>
        </w:rPr>
        <w:t xml:space="preserve"> هم به‌صورت متغیر پیوسته و هم طبقه‌بندی‌شده (کوارتیل/ترشیل بر اساس توزیع نمونه) تحلیل خواهد شد. به‌عنوان تحلیل حساسیت، آستانه ملی کودکان ایرانی (۸٫۳۳؛ </w:t>
      </w:r>
      <w:r>
        <w:rPr>
          <w:color w:val="000000"/>
        </w:rPr>
        <w:t xml:space="preserve">CASPIAN-V</w:t>
      </w:r>
      <w:r>
        <w:rPr>
          <w:color w:val="000000"/>
          <w:rtl/>
        </w:rPr>
        <w:t xml:space="preserve">) نیز به‌کار می‌رود [۲].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طبقه‌بندی‌های پیشنهادی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:</w:t>
      </w:r>
    </w:p>
    <w:tbl>
      <w:tblPr>
        <w:tblStyle w:val="a4"/>
        <w:tblW w:w="96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79"/>
        <w:gridCol w:w="1363"/>
        <w:gridCol w:w="1419"/>
        <w:gridCol w:w="5317"/>
      </w:tblGrid>
      <w:tr w:rsidR="00B745AB" w:rsidTr="00230B21">
        <w:tc>
          <w:tcPr>
            <w:tcW w:w="1579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دسته‌بندی</w:t>
            </w:r>
          </w:p>
        </w:tc>
        <w:tc>
          <w:tcPr>
            <w:tcW w:w="1363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مبنای تعیین</w:t>
            </w:r>
          </w:p>
        </w:tc>
        <w:tc>
          <w:tcPr>
            <w:tcW w:w="1419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تعریف عملیاتی</w:t>
            </w:r>
          </w:p>
        </w:tc>
        <w:tc>
          <w:tcPr>
            <w:tcW w:w="5317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کاربرد در تحلیل</w:t>
            </w:r>
          </w:p>
        </w:tc>
      </w:tr>
      <w:tr w:rsidR="00B745AB" w:rsidTr="00230B21">
        <w:tc>
          <w:tcPr>
            <w:tcW w:w="1579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 xml:space="preserve">کوارتیل ۱ (مرجع)</w:t>
            </w:r>
          </w:p>
        </w:tc>
        <w:tc>
          <w:tcPr>
            <w:tcW w:w="1363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 xml:space="preserve">توزیع نمونه </w:t>
            </w:r>
            <w:r>
              <w:rPr>
                <w:sz w:val="20"/>
                <w:szCs w:val="20"/>
              </w:rPr>
              <w:t xml:space="preserve">TLGS</w:t>
            </w:r>
          </w:p>
        </w:tc>
        <w:tc>
          <w:tcPr>
            <w:tcW w:w="1419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 xml:space="preserve">پایین‌ترین کوارتیل </w:t>
            </w:r>
            <w:r>
              <w:rPr>
                <w:sz w:val="20"/>
                <w:szCs w:val="20"/>
              </w:rPr>
              <w:t xml:space="preserve">TyG</w:t>
            </w:r>
            <w:r>
              <w:rPr>
                <w:sz w:val="20"/>
                <w:szCs w:val="20"/>
                <w:rtl/>
              </w:rPr>
              <w:t xml:space="preserve"> در جمعیت مطالعه</w:t>
            </w:r>
          </w:p>
        </w:tc>
        <w:tc>
          <w:tcPr>
            <w:tcW w:w="5317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 xml:space="preserve">مقایسه خطر نسبی با کوارتیل‌های بالاتر</w:t>
            </w:r>
          </w:p>
        </w:tc>
      </w:tr>
      <w:tr w:rsidR="00B745AB" w:rsidTr="00230B21">
        <w:tc>
          <w:tcPr>
            <w:tcW w:w="1579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 xml:space="preserve">کوارتیل ۲ تا ۴</w:t>
            </w:r>
          </w:p>
        </w:tc>
        <w:tc>
          <w:tcPr>
            <w:tcW w:w="1363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 xml:space="preserve">توزیع نمونه </w:t>
            </w:r>
            <w:r>
              <w:rPr>
                <w:sz w:val="20"/>
                <w:szCs w:val="20"/>
              </w:rPr>
              <w:t xml:space="preserve">TLGS</w:t>
            </w:r>
          </w:p>
        </w:tc>
        <w:tc>
          <w:tcPr>
            <w:tcW w:w="1419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 xml:space="preserve">کوارتیل‌های بالاتر </w:t>
            </w:r>
            <w:r>
              <w:rPr>
                <w:sz w:val="20"/>
                <w:szCs w:val="20"/>
              </w:rPr>
              <w:t xml:space="preserve">TyG</w:t>
            </w:r>
          </w:p>
        </w:tc>
        <w:tc>
          <w:tcPr>
            <w:tcW w:w="5317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 xml:space="preserve">بررسی رابطه دوز-پاسخ</w:t>
            </w:r>
          </w:p>
        </w:tc>
      </w:tr>
      <w:tr w:rsidR="00B745AB" w:rsidTr="00230B21">
        <w:tc>
          <w:tcPr>
            <w:tcW w:w="1579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</w:rPr>
              <w:t xml:space="preserve">TyG</w:t>
            </w:r>
            <w:r>
              <w:rPr>
                <w:sz w:val="20"/>
                <w:szCs w:val="20"/>
                <w:rtl/>
              </w:rPr>
              <w:t xml:space="preserve"> پیوسته</w:t>
            </w:r>
          </w:p>
        </w:tc>
        <w:tc>
          <w:tcPr>
            <w:tcW w:w="1363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 xml:space="preserve">مقدار خام </w:t>
            </w:r>
            <w:r>
              <w:rPr>
                <w:sz w:val="20"/>
                <w:szCs w:val="20"/>
              </w:rPr>
              <w:t xml:space="preserve">Ln[TG×FPG/2]</w:t>
            </w:r>
          </w:p>
        </w:tc>
        <w:tc>
          <w:tcPr>
            <w:tcW w:w="1419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 xml:space="preserve">هر واحد یا هر انحراف معیار افزایش</w:t>
            </w:r>
          </w:p>
        </w:tc>
        <w:tc>
          <w:tcPr>
            <w:tcW w:w="5317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 xml:space="preserve">مدل‌های اصلی رگرسیون/</w:t>
            </w:r>
            <w:r>
              <w:rPr>
                <w:sz w:val="20"/>
                <w:szCs w:val="20"/>
              </w:rPr>
              <w:t xml:space="preserve">Cox</w:t>
            </w:r>
          </w:p>
        </w:tc>
      </w:tr>
      <w:tr w:rsidR="00B745AB" w:rsidTr="00230B21">
        <w:tc>
          <w:tcPr>
            <w:tcW w:w="1579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 xml:space="preserve">آستانه ثابت </w:t>
            </w:r>
            <w:r>
              <w:rPr>
                <w:sz w:val="20"/>
                <w:szCs w:val="20"/>
              </w:rPr>
              <w:t xml:space="preserve">CASPIAN-V (</w:t>
            </w:r>
            <w:r>
              <w:rPr>
                <w:sz w:val="20"/>
                <w:szCs w:val="20"/>
                <w:rtl/>
              </w:rPr>
              <w:t xml:space="preserve">تحلیل حساسیت)</w:t>
            </w:r>
          </w:p>
        </w:tc>
        <w:tc>
          <w:tcPr>
            <w:tcW w:w="1363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 xml:space="preserve">مرجع ملی کودکان ایرانی [۲]</w:t>
            </w:r>
          </w:p>
        </w:tc>
        <w:tc>
          <w:tcPr>
            <w:tcW w:w="1419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</w:rPr>
              <w:t xml:space="preserve">TyG ≥</w:t>
            </w:r>
            <w:r>
              <w:rPr>
                <w:sz w:val="20"/>
                <w:szCs w:val="20"/>
                <w:rtl/>
              </w:rPr>
              <w:t xml:space="preserve"> ۸٫۳۳ در برابر کمتر</w:t>
            </w:r>
          </w:p>
        </w:tc>
        <w:tc>
          <w:tcPr>
            <w:tcW w:w="5317" w:type="dxa"/>
            <w:vAlign w:val="center"/>
          </w:tcPr>
          <w:p w:rsidR="00B745AB" w:rsidRDefault="00000000" w:rsidP="00230B21">
            <w:pPr>
              <w:bidi/>
              <w:spacing w:line="360" w:lineRule="auto"/>
              <w:jc w:val="center"/>
            </w:pPr>
            <w:r>
              <w:rPr>
                <w:sz w:val="20"/>
                <w:szCs w:val="20"/>
                <w:rtl/>
              </w:rPr>
              <w:t xml:space="preserve">مقایسه با شواهد ملی موجود</w:t>
            </w:r>
          </w:p>
        </w:tc>
      </w:tr>
    </w:tbl>
    <w:p w:rsidR="00B86BBD" w:rsidRDefault="00B86BBD" w:rsidP="00B86BBD">
      <w:pPr>
        <w:bidi/>
        <w:spacing w:after="80"/>
        <w:jc w:val="center"/>
      </w:pP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تعریف پیامدها </w:t>
      </w:r>
      <w:r>
        <w:rPr>
          <w:b/>
          <w:bCs/>
          <w:color w:val="000000"/>
          <w:sz w:val="23"/>
          <w:szCs w:val="23"/>
        </w:rPr>
        <w:t xml:space="preserve">Outcomes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پیامد اصلی: </w:t>
      </w:r>
      <w:r>
        <w:rPr>
          <w:color w:val="000000"/>
        </w:rPr>
        <w:t xml:space="preserve">GFR Trajectory</w:t>
      </w:r>
      <w:r>
        <w:rPr>
          <w:color w:val="000000"/>
          <w:rtl/>
        </w:rPr>
        <w:t xml:space="preserve"> که بر اساس شیب تغییرات </w:t>
      </w:r>
      <w:r>
        <w:rPr>
          <w:color w:val="000000"/>
        </w:rPr>
        <w:t xml:space="preserve">eGFR</w:t>
      </w:r>
      <w:r>
        <w:rPr>
          <w:color w:val="000000"/>
          <w:rtl/>
        </w:rPr>
        <w:t xml:space="preserve"> در طول دوره پیگیری تعریف می‌شود. </w:t>
      </w:r>
      <w:r>
        <w:rPr>
          <w:color w:val="000000"/>
        </w:rPr>
        <w:t xml:space="preserve">GFR slope</w:t>
      </w:r>
      <w:r>
        <w:rPr>
          <w:color w:val="000000"/>
          <w:rtl/>
        </w:rPr>
        <w:t xml:space="preserve"> به‌صورت نرخ تغییر سالانه </w:t>
      </w:r>
      <w:r>
        <w:rPr>
          <w:color w:val="000000"/>
        </w:rPr>
        <w:t xml:space="preserve">eGFR</w:t>
      </w:r>
      <w:r>
        <w:rPr>
          <w:color w:val="000000"/>
          <w:rtl/>
        </w:rPr>
        <w:t xml:space="preserve"> بر حسب </w:t>
      </w:r>
      <w:r>
        <w:rPr>
          <w:color w:val="000000"/>
        </w:rPr>
        <w:t xml:space="preserve">mL/min/1.73m²/year</w:t>
      </w:r>
      <w:r>
        <w:rPr>
          <w:color w:val="000000"/>
          <w:rtl/>
        </w:rPr>
        <w:t xml:space="preserve"> محاسبه خواهد شد.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پیامدهای ثانویه: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• </w:t>
      </w:r>
      <w:r>
        <w:rPr>
          <w:color w:val="000000"/>
        </w:rPr>
        <w:t xml:space="preserve">Incident CKD</w:t>
      </w:r>
      <w:r>
        <w:rPr>
          <w:color w:val="000000"/>
          <w:rtl/>
        </w:rPr>
        <w:t xml:space="preserve">: اولین ثبت </w:t>
      </w:r>
      <w:r>
        <w:rPr>
          <w:color w:val="000000"/>
        </w:rPr>
        <w:t xml:space="preserve">eGFR</w:t>
      </w:r>
      <w:r>
        <w:rPr>
          <w:color w:val="000000"/>
          <w:rtl/>
        </w:rPr>
        <w:t xml:space="preserve"> کمتر از </w:t>
      </w:r>
      <w:r>
        <w:rPr>
          <w:color w:val="000000"/>
        </w:rPr>
        <w:t xml:space="preserve">60 mL/min/1.73m²</w:t>
      </w:r>
      <w:r>
        <w:rPr>
          <w:color w:val="000000"/>
          <w:rtl/>
        </w:rPr>
        <w:t xml:space="preserve"> در حداقل دو ارزیابی متوالی، مشروط بر نبود </w:t>
      </w:r>
      <w:r>
        <w:rPr>
          <w:color w:val="000000"/>
        </w:rPr>
        <w:t xml:space="preserve">CKD</w:t>
      </w:r>
      <w:r>
        <w:rPr>
          <w:color w:val="000000"/>
          <w:rtl/>
        </w:rPr>
        <w:t xml:space="preserve"> در ابتدا.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• </w:t>
      </w:r>
      <w:r>
        <w:rPr>
          <w:color w:val="000000"/>
        </w:rPr>
        <w:t xml:space="preserve">Rapid Renal Decline</w:t>
      </w:r>
      <w:r>
        <w:rPr>
          <w:color w:val="000000"/>
          <w:rtl/>
        </w:rPr>
        <w:t xml:space="preserve">: شیب فردی </w:t>
      </w:r>
      <w:r>
        <w:rPr>
          <w:color w:val="000000"/>
        </w:rPr>
        <w:t xml:space="preserve">eGFR</w:t>
      </w:r>
      <w:r>
        <w:rPr>
          <w:color w:val="000000"/>
          <w:rtl/>
        </w:rPr>
        <w:t xml:space="preserve"> کمتر از −۳ </w:t>
      </w:r>
      <w:r>
        <w:rPr>
          <w:color w:val="000000"/>
        </w:rPr>
        <w:t xml:space="preserve">mL/min/1.73m²/year</w:t>
      </w:r>
      <w:r>
        <w:rPr>
          <w:color w:val="000000"/>
          <w:rtl/>
        </w:rPr>
        <w:t xml:space="preserve"> در طول پیگیری.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• </w:t>
      </w:r>
      <w:r>
        <w:rPr>
          <w:color w:val="000000"/>
        </w:rPr>
        <w:t xml:space="preserve">Substantial Decline (</w:t>
      </w:r>
      <w:r>
        <w:rPr>
          <w:color w:val="000000"/>
          <w:rtl/>
        </w:rPr>
        <w:t xml:space="preserve">تحلیل حساسیت): کاهش حداقل ۳۰ درصدی </w:t>
      </w:r>
      <w:r>
        <w:rPr>
          <w:color w:val="000000"/>
        </w:rPr>
        <w:t xml:space="preserve">eGFR</w:t>
      </w:r>
      <w:r>
        <w:rPr>
          <w:color w:val="000000"/>
          <w:rtl/>
        </w:rPr>
        <w:t xml:space="preserve"> نسبت به مقدار پایه [۹].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محاسبه </w:t>
      </w:r>
      <w:r>
        <w:rPr>
          <w:color w:val="000000"/>
        </w:rPr>
        <w:t xml:space="preserve">eGFR</w:t>
      </w:r>
      <w:r>
        <w:rPr>
          <w:color w:val="000000"/>
          <w:rtl/>
        </w:rPr>
        <w:t xml:space="preserve"> بر اساس یک معادله معتبر برای کل طیف سنی (مانند </w:t>
      </w:r>
      <w:r>
        <w:rPr>
          <w:color w:val="000000"/>
        </w:rPr>
        <w:t xml:space="preserve">FAS</w:t>
      </w:r>
      <w:r>
        <w:rPr>
          <w:color w:val="000000"/>
          <w:rtl/>
        </w:rPr>
        <w:t xml:space="preserve">) انجام می‌شود تا مسیر کودکی/نوجوانی تا بزرگسالی بدون ناپیوستگی معادله برآورد شود. انتخاب نهایی معادله بر اساس پروتکل 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 و فازهای در دسترس خواهد بود؛ در تحلیل حساسیت، معادلات </w:t>
      </w:r>
      <w:r>
        <w:rPr>
          <w:color w:val="000000"/>
        </w:rPr>
        <w:t xml:space="preserve">Bedside Schwartz</w:t>
      </w:r>
      <w:r>
        <w:rPr>
          <w:color w:val="000000"/>
          <w:rtl/>
        </w:rPr>
        <w:t xml:space="preserve"> و </w:t>
      </w:r>
      <w:r>
        <w:rPr>
          <w:color w:val="000000"/>
        </w:rPr>
        <w:t xml:space="preserve">CKD-EPI</w:t>
      </w:r>
      <w:r>
        <w:rPr>
          <w:color w:val="000000"/>
          <w:rtl/>
        </w:rPr>
        <w:t xml:space="preserve"> استفاده می‌شود.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i/>
          <w:iCs/>
          <w:color w:val="555555"/>
          <w:sz w:val="20"/>
          <w:szCs w:val="20"/>
          <w:rtl/>
        </w:rPr>
        <w:t xml:space="preserve">ملاحظات مربوط به متغیرهای پایگاه داده </w:t>
      </w:r>
      <w:r>
        <w:rPr>
          <w:i/>
          <w:iCs/>
          <w:color w:val="555555"/>
          <w:sz w:val="20"/>
          <w:szCs w:val="20"/>
        </w:rPr>
        <w:t xml:space="preserve">TLGS</w:t>
      </w:r>
      <w:r>
        <w:rPr>
          <w:i/>
          <w:iCs/>
          <w:color w:val="555555"/>
          <w:sz w:val="20"/>
          <w:szCs w:val="20"/>
          <w:rtl/>
        </w:rPr>
        <w:t xml:space="preserve">: در دسترس بودن </w:t>
      </w:r>
      <w:r>
        <w:rPr>
          <w:i/>
          <w:iCs/>
          <w:color w:val="555555"/>
          <w:sz w:val="20"/>
          <w:szCs w:val="20"/>
        </w:rPr>
        <w:t xml:space="preserve">TG/FPG</w:t>
      </w:r>
      <w:r>
        <w:rPr>
          <w:i/>
          <w:iCs/>
          <w:color w:val="555555"/>
          <w:sz w:val="20"/>
          <w:szCs w:val="20"/>
          <w:rtl/>
        </w:rPr>
        <w:t xml:space="preserve"> ناشتا در سنین پایین‌تر، معادله نهایی </w:t>
      </w:r>
      <w:r>
        <w:rPr>
          <w:i/>
          <w:iCs/>
          <w:color w:val="555555"/>
          <w:sz w:val="20"/>
          <w:szCs w:val="20"/>
        </w:rPr>
        <w:t xml:space="preserve">eGFR</w:t>
      </w:r>
      <w:r>
        <w:rPr>
          <w:i/>
          <w:iCs/>
          <w:color w:val="555555"/>
          <w:sz w:val="20"/>
          <w:szCs w:val="20"/>
          <w:rtl/>
        </w:rPr>
        <w:t xml:space="preserve">، هماهنگ‌سازی کراتینین بین فازها، تعداد نهایی شرکت‌کنندگان و الگوی داده‌های گمشده، در زمان استخراج داده نهایی مشخص خواهد شد.</w:t>
      </w:r>
    </w:p>
    <w:p w:rsidR="00B86BBD" w:rsidRDefault="00B86BBD" w:rsidP="00B86BBD">
      <w:pPr>
        <w:bidi/>
        <w:spacing w:after="80"/>
        <w:jc w:val="center"/>
      </w:pP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۲-۹-۷- روش‌های تجزیه و تحلیل داده‌ها </w:t>
      </w:r>
      <w:r>
        <w:rPr>
          <w:b/>
          <w:bCs/>
          <w:color w:val="000000"/>
          <w:sz w:val="23"/>
          <w:szCs w:val="23"/>
        </w:rPr>
        <w:t xml:space="preserve">Data Analyses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تحلیل داده‌ها با استفاده از نرم‌افزارهای </w:t>
      </w:r>
      <w:r>
        <w:rPr>
          <w:color w:val="000000"/>
        </w:rPr>
        <w:t xml:space="preserve">R</w:t>
      </w:r>
      <w:r>
        <w:rPr>
          <w:color w:val="000000"/>
          <w:rtl/>
        </w:rPr>
        <w:t xml:space="preserve"> یا </w:t>
      </w:r>
      <w:r>
        <w:rPr>
          <w:color w:val="000000"/>
        </w:rPr>
        <w:t xml:space="preserve">STATA</w:t>
      </w:r>
      <w:r>
        <w:rPr>
          <w:color w:val="000000"/>
          <w:rtl/>
        </w:rPr>
        <w:t xml:space="preserve"> انجام خواهد شد. سطح معنی‌داری آماری ۰٫۰۵ در نظر گرفته می‌شود و نتایج بر اساس اندازه اثر، فاصله اطمینان ۹۵ درصد و مقدار </w:t>
      </w:r>
      <w:r>
        <w:rPr>
          <w:color w:val="000000"/>
        </w:rPr>
        <w:t xml:space="preserve">p</w:t>
      </w:r>
      <w:r>
        <w:rPr>
          <w:color w:val="000000"/>
          <w:rtl/>
        </w:rPr>
        <w:t xml:space="preserve"> گزارش خواهند شد.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تحلیل توصیفی: متغیرهای کمی با میانگین و انحراف معیار یا میانه و دامنه بین چارکی، و متغیرهای کیفی با فراوانی و درصد گزارش می‌شوند. ویژگی‌های پایه شرکت‌کنندگان بین کوارتیل‌های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با </w:t>
      </w:r>
      <w:r>
        <w:rPr>
          <w:color w:val="000000"/>
        </w:rPr>
        <w:t xml:space="preserve">ANOVA</w:t>
      </w:r>
      <w:r>
        <w:rPr>
          <w:color w:val="000000"/>
          <w:rtl/>
        </w:rPr>
        <w:t xml:space="preserve">، </w:t>
      </w:r>
      <w:r>
        <w:rPr>
          <w:color w:val="000000"/>
        </w:rPr>
        <w:t xml:space="preserve">Kruskal-Wallis</w:t>
      </w:r>
      <w:r>
        <w:rPr>
          <w:color w:val="000000"/>
          <w:rtl/>
        </w:rPr>
        <w:t xml:space="preserve"> یا آزمون </w:t>
      </w:r>
      <w:r>
        <w:rPr>
          <w:color w:val="000000"/>
        </w:rPr>
        <w:t xml:space="preserve">Chi-square</w:t>
      </w:r>
      <w:r>
        <w:rPr>
          <w:color w:val="000000"/>
          <w:rtl/>
        </w:rPr>
        <w:t xml:space="preserve"> مقایسه می‌شود.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تحلیل طولی </w:t>
      </w:r>
      <w:r>
        <w:rPr>
          <w:color w:val="000000"/>
        </w:rPr>
        <w:t xml:space="preserve">eGFR (GFR Trajectory)</w:t>
      </w:r>
      <w:r>
        <w:rPr>
          <w:color w:val="000000"/>
          <w:rtl/>
        </w:rPr>
        <w:t xml:space="preserve">: از مدل‌های خطی اثرات مختلط (</w:t>
      </w:r>
      <w:r>
        <w:rPr>
          <w:color w:val="000000"/>
        </w:rPr>
        <w:t xml:space="preserve">Linear Mixed Effects Models</w:t>
      </w:r>
      <w:r>
        <w:rPr>
          <w:color w:val="000000"/>
          <w:rtl/>
        </w:rPr>
        <w:t xml:space="preserve">) با </w:t>
      </w:r>
      <w:r>
        <w:rPr>
          <w:color w:val="000000"/>
        </w:rPr>
        <w:t xml:space="preserve">intercept</w:t>
      </w:r>
      <w:r>
        <w:rPr>
          <w:color w:val="000000"/>
          <w:rtl/>
        </w:rPr>
        <w:t xml:space="preserve"> و شیب تصادفی برای هر فرد استفاده خواهد شد. در مدل اصلی، </w:t>
      </w:r>
      <w:r>
        <w:rPr>
          <w:color w:val="000000"/>
        </w:rPr>
        <w:t xml:space="preserve">eGFR</w:t>
      </w:r>
      <w:r>
        <w:rPr>
          <w:color w:val="000000"/>
          <w:rtl/>
        </w:rPr>
        <w:t xml:space="preserve"> متغیر وابسته، زمان پیگیری و </w:t>
      </w:r>
      <w:r>
        <w:rPr>
          <w:color w:val="000000"/>
        </w:rPr>
        <w:t xml:space="preserve">TyG (</w:t>
      </w:r>
      <w:r>
        <w:rPr>
          <w:color w:val="000000"/>
          <w:rtl/>
        </w:rPr>
        <w:t xml:space="preserve">پیوسته یا کوارتیل) متغیرهای اصلی، و برهم‌کنش زمان ×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برای برآورد تفاوت شیب‌های </w:t>
      </w:r>
      <w:r>
        <w:rPr>
          <w:color w:val="000000"/>
        </w:rPr>
        <w:t xml:space="preserve">eGFR</w:t>
      </w:r>
      <w:r>
        <w:rPr>
          <w:color w:val="000000"/>
          <w:rtl/>
        </w:rPr>
        <w:t xml:space="preserve"> وارد مدل می‌شود. رابطه دوز-پاسخ با جملات غیرخطی (</w:t>
      </w:r>
      <w:r>
        <w:rPr>
          <w:color w:val="000000"/>
        </w:rPr>
        <w:t xml:space="preserve">spline) TyG</w:t>
      </w:r>
      <w:r>
        <w:rPr>
          <w:color w:val="000000"/>
          <w:rtl/>
        </w:rPr>
        <w:t xml:space="preserve"> نیز بررسی خواهد شد. کوارتیل ۱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به‌عنوان گروه مرجع انتخاب می‌شود.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تحلیل بروز </w:t>
      </w:r>
      <w:r>
        <w:rPr>
          <w:color w:val="000000"/>
        </w:rPr>
        <w:t xml:space="preserve">CKD</w:t>
      </w:r>
      <w:r>
        <w:rPr>
          <w:color w:val="000000"/>
          <w:rtl/>
        </w:rPr>
        <w:t xml:space="preserve"> و کاهش سریع: برای </w:t>
      </w:r>
      <w:r>
        <w:rPr>
          <w:color w:val="000000"/>
        </w:rPr>
        <w:t xml:space="preserve">Incident CKD</w:t>
      </w:r>
      <w:r>
        <w:rPr>
          <w:color w:val="000000"/>
          <w:rtl/>
        </w:rPr>
        <w:t xml:space="preserve"> از مدل </w:t>
      </w:r>
      <w:r>
        <w:rPr>
          <w:color w:val="000000"/>
        </w:rPr>
        <w:t xml:space="preserve">Cox Proportional Hazards Regression</w:t>
      </w:r>
      <w:r>
        <w:rPr>
          <w:color w:val="000000"/>
          <w:rtl/>
        </w:rPr>
        <w:t xml:space="preserve"> و برای </w:t>
      </w:r>
      <w:r>
        <w:rPr>
          <w:color w:val="000000"/>
        </w:rPr>
        <w:t xml:space="preserve">Rapid Decline</w:t>
      </w:r>
      <w:r>
        <w:rPr>
          <w:color w:val="000000"/>
          <w:rtl/>
        </w:rPr>
        <w:t xml:space="preserve"> از رگرسیون لجستیک یا پواسون اصلاح‌شده استفاده خواهد شد. </w:t>
      </w:r>
      <w:r>
        <w:rPr>
          <w:color w:val="000000"/>
        </w:rPr>
        <w:t xml:space="preserve">Hazard Ratio</w:t>
      </w:r>
      <w:r>
        <w:rPr>
          <w:color w:val="000000"/>
          <w:rtl/>
        </w:rPr>
        <w:t xml:space="preserve"> یا </w:t>
      </w:r>
      <w:r>
        <w:rPr>
          <w:color w:val="000000"/>
        </w:rPr>
        <w:t xml:space="preserve">Odds Ratio</w:t>
      </w:r>
      <w:r>
        <w:rPr>
          <w:color w:val="000000"/>
          <w:rtl/>
        </w:rPr>
        <w:t xml:space="preserve"> با فاصله اطمینان ۹۵ درصد برای کوارتیل‌های بالاتر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نسبت به کوارتیل ۱ گزارش می‌شود.</w:t>
      </w:r>
    </w:p>
    <w:p w:rsidR="00B86BBD" w:rsidRDefault="00B86BBD" w:rsidP="00B86BBD">
      <w:pPr>
        <w:bidi/>
        <w:spacing w:after="80"/>
        <w:jc w:val="center"/>
      </w:pP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مدل‌های تعدیل‌شده:</w:t>
      </w:r>
    </w:p>
    <w:tbl>
      <w:tblPr>
        <w:tblStyle w:val="a5"/>
        <w:tblW w:w="96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1134"/>
        <w:gridCol w:w="7160"/>
      </w:tblGrid>
      <w:tr w:rsidR="00B745AB">
        <w:tc>
          <w:tcPr>
            <w:tcW w:w="1384" w:type="dxa"/>
            <w:vAlign w:val="center"/>
          </w:tcPr>
          <w:p w:rsidR="00B745AB" w:rsidRDefault="00000000" w:rsidP="00230B21">
            <w:pPr>
              <w:bidi/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>مدل</w:t>
            </w:r>
          </w:p>
        </w:tc>
        <w:tc>
          <w:tcPr>
            <w:tcW w:w="1134" w:type="dxa"/>
            <w:vAlign w:val="center"/>
          </w:tcPr>
          <w:p w:rsidR="00B745AB" w:rsidRDefault="00000000" w:rsidP="00230B21">
            <w:pPr>
              <w:bidi/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>نوع تحلیل</w:t>
            </w:r>
          </w:p>
        </w:tc>
        <w:tc>
          <w:tcPr>
            <w:tcW w:w="7160" w:type="dxa"/>
            <w:vAlign w:val="center"/>
          </w:tcPr>
          <w:p w:rsidR="00B745AB" w:rsidRDefault="00000000" w:rsidP="00230B21">
            <w:pPr>
              <w:bidi/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>متغیرهای تعدیل‌شونده</w:t>
            </w:r>
          </w:p>
        </w:tc>
      </w:tr>
      <w:tr w:rsidR="00B745AB">
        <w:tc>
          <w:tcPr>
            <w:tcW w:w="1384" w:type="dxa"/>
            <w:vAlign w:val="center"/>
          </w:tcPr>
          <w:p w:rsidR="00B745AB" w:rsidRDefault="00000000" w:rsidP="00230B21">
            <w:pPr>
              <w:bidi/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Model 1</w:t>
            </w:r>
          </w:p>
        </w:tc>
        <w:tc>
          <w:tcPr>
            <w:tcW w:w="1134" w:type="dxa"/>
            <w:vAlign w:val="center"/>
          </w:tcPr>
          <w:p w:rsidR="00B745AB" w:rsidRDefault="00000000" w:rsidP="00230B21">
            <w:pPr>
              <w:bidi/>
              <w:spacing w:line="276" w:lineRule="auto"/>
              <w:jc w:val="both"/>
            </w:pPr>
            <w:r>
              <w:rPr>
                <w:sz w:val="20"/>
                <w:szCs w:val="20"/>
                <w:rtl/>
              </w:rPr>
              <w:t xml:space="preserve">خام</w:t>
            </w:r>
          </w:p>
        </w:tc>
        <w:tc>
          <w:tcPr>
            <w:tcW w:w="7160" w:type="dxa"/>
            <w:vAlign w:val="center"/>
          </w:tcPr>
          <w:p w:rsidR="00B745AB" w:rsidRDefault="00000000" w:rsidP="00230B21">
            <w:pPr>
              <w:bidi/>
              <w:spacing w:line="276" w:lineRule="auto"/>
              <w:jc w:val="both"/>
            </w:pPr>
            <w:r>
              <w:rPr>
                <w:sz w:val="20"/>
                <w:szCs w:val="20"/>
                <w:rtl/>
              </w:rPr>
              <w:t xml:space="preserve">بدون تعدیل</w:t>
            </w:r>
          </w:p>
        </w:tc>
      </w:tr>
      <w:tr w:rsidR="00B745AB">
        <w:tc>
          <w:tcPr>
            <w:tcW w:w="1384" w:type="dxa"/>
            <w:vAlign w:val="center"/>
          </w:tcPr>
          <w:p w:rsidR="00B745AB" w:rsidRDefault="00000000" w:rsidP="00230B21">
            <w:pPr>
              <w:bidi/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Model 2</w:t>
            </w:r>
          </w:p>
        </w:tc>
        <w:tc>
          <w:tcPr>
            <w:tcW w:w="1134" w:type="dxa"/>
            <w:vAlign w:val="center"/>
          </w:tcPr>
          <w:p w:rsidR="00B745AB" w:rsidRDefault="00000000" w:rsidP="00230B21">
            <w:pPr>
              <w:bidi/>
              <w:spacing w:line="276" w:lineRule="auto"/>
              <w:jc w:val="both"/>
            </w:pPr>
            <w:r>
              <w:rPr>
                <w:sz w:val="20"/>
                <w:szCs w:val="20"/>
                <w:rtl/>
              </w:rPr>
              <w:t xml:space="preserve">تعدیل پایه</w:t>
            </w:r>
          </w:p>
        </w:tc>
        <w:tc>
          <w:tcPr>
            <w:tcW w:w="7160" w:type="dxa"/>
            <w:vAlign w:val="center"/>
          </w:tcPr>
          <w:p w:rsidR="00B745AB" w:rsidRDefault="00000000" w:rsidP="00230B21">
            <w:pPr>
              <w:bidi/>
              <w:spacing w:line="276" w:lineRule="auto"/>
              <w:jc w:val="both"/>
            </w:pPr>
            <w:r>
              <w:rPr>
                <w:sz w:val="20"/>
                <w:szCs w:val="20"/>
                <w:rtl/>
              </w:rPr>
              <w:t xml:space="preserve">سن و جنس</w:t>
            </w:r>
          </w:p>
        </w:tc>
      </w:tr>
      <w:tr w:rsidR="00B745AB">
        <w:tc>
          <w:tcPr>
            <w:tcW w:w="1384" w:type="dxa"/>
            <w:vAlign w:val="center"/>
          </w:tcPr>
          <w:p w:rsidR="00B745AB" w:rsidRDefault="00000000" w:rsidP="00230B21">
            <w:pPr>
              <w:bidi/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Model 3</w:t>
            </w:r>
          </w:p>
        </w:tc>
        <w:tc>
          <w:tcPr>
            <w:tcW w:w="1134" w:type="dxa"/>
            <w:vAlign w:val="center"/>
          </w:tcPr>
          <w:p w:rsidR="00B745AB" w:rsidRDefault="00000000" w:rsidP="00230B21">
            <w:pPr>
              <w:bidi/>
              <w:spacing w:line="276" w:lineRule="auto"/>
              <w:jc w:val="both"/>
            </w:pPr>
            <w:r>
              <w:rPr>
                <w:sz w:val="20"/>
                <w:szCs w:val="20"/>
                <w:rtl/>
              </w:rPr>
              <w:t xml:space="preserve">تعدیل کامل</w:t>
            </w:r>
          </w:p>
        </w:tc>
        <w:tc>
          <w:tcPr>
            <w:tcW w:w="7160" w:type="dxa"/>
            <w:vAlign w:val="center"/>
          </w:tcPr>
          <w:p w:rsidR="00B745AB" w:rsidRDefault="00000000" w:rsidP="00230B21">
            <w:pPr>
              <w:bidi/>
              <w:spacing w:line="276" w:lineRule="auto"/>
              <w:jc w:val="both"/>
            </w:pPr>
            <w:r>
              <w:rPr>
                <w:sz w:val="20"/>
                <w:szCs w:val="20"/>
                <w:rtl/>
              </w:rPr>
              <w:t xml:space="preserve">سن، جنس، </w:t>
            </w:r>
            <w:r>
              <w:rPr>
                <w:sz w:val="20"/>
                <w:szCs w:val="20"/>
              </w:rPr>
              <w:t xml:space="preserve">BMI-for-age z-score</w:t>
            </w:r>
            <w:r>
              <w:rPr>
                <w:sz w:val="20"/>
                <w:szCs w:val="20"/>
                <w:rtl/>
              </w:rPr>
              <w:t xml:space="preserve">، فعالیت بدنی، فشار خون و </w:t>
            </w:r>
            <w:r>
              <w:rPr>
                <w:sz w:val="20"/>
                <w:szCs w:val="20"/>
              </w:rPr>
              <w:t xml:space="preserve">eGFR</w:t>
            </w:r>
            <w:r>
              <w:rPr>
                <w:sz w:val="20"/>
                <w:szCs w:val="20"/>
                <w:rtl/>
              </w:rPr>
              <w:t xml:space="preserve"> پایه</w:t>
            </w:r>
          </w:p>
        </w:tc>
      </w:tr>
    </w:tbl>
    <w:p w:rsidR="00B86BBD" w:rsidRDefault="00B86BBD" w:rsidP="00B86BBD">
      <w:pPr>
        <w:bidi/>
        <w:spacing w:after="80"/>
        <w:jc w:val="center"/>
      </w:pP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تحلیل استقلال از وضعیت وزن: برای پاسخ به سؤال محوری مطالعه، در مدل مختلط و مدل </w:t>
      </w:r>
      <w:r>
        <w:rPr>
          <w:color w:val="000000"/>
        </w:rPr>
        <w:t xml:space="preserve">Cox</w:t>
      </w:r>
      <w:r>
        <w:rPr>
          <w:color w:val="000000"/>
          <w:rtl/>
        </w:rPr>
        <w:t xml:space="preserve">، جمله اثر متقابل </w:t>
      </w:r>
      <w:r>
        <w:rPr>
          <w:color w:val="000000"/>
        </w:rPr>
        <w:t xml:space="preserve">TyG ×</w:t>
      </w:r>
      <w:r>
        <w:rPr>
          <w:color w:val="000000"/>
          <w:rtl/>
        </w:rPr>
        <w:t xml:space="preserve"> وضعیت وزن (</w:t>
      </w:r>
      <w:r>
        <w:rPr>
          <w:color w:val="000000"/>
        </w:rPr>
        <w:t xml:space="preserve">BMI-for-age</w:t>
      </w:r>
      <w:r>
        <w:rPr>
          <w:color w:val="000000"/>
          <w:rtl/>
        </w:rPr>
        <w:t xml:space="preserve">) وارد خواهد شد. این تحلیل امکان ارزیابی نقش مستقل و ترکیبی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و چاقی در پیامدهای کلیوی را فراهم می‌کند.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مدیریت داده‌های گمشده: ابتدا میزان و الگوی داده‌های گمشده بررسی خواهد شد. در صورت قابل توجه بودن داده‌های مفقود، از روش </w:t>
      </w:r>
      <w:r>
        <w:rPr>
          <w:color w:val="000000"/>
        </w:rPr>
        <w:t xml:space="preserve">Multiple Imputation using Chained Equations (MICE)</w:t>
      </w:r>
      <w:r>
        <w:rPr>
          <w:color w:val="000000"/>
          <w:rtl/>
        </w:rPr>
        <w:t xml:space="preserve"> استفاده خواهد شد؛ تحلیل </w:t>
      </w:r>
      <w:r>
        <w:rPr>
          <w:color w:val="000000"/>
        </w:rPr>
        <w:t xml:space="preserve">complete-case</w:t>
      </w:r>
      <w:r>
        <w:rPr>
          <w:color w:val="000000"/>
          <w:rtl/>
        </w:rPr>
        <w:t xml:space="preserve"> نیز به‌عنوان تحلیل حساسیت انجام می‌شود.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تحلیل‌های حساسیت و زیرگروه: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• طبقه‌بندی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با آستانه ثابت </w:t>
      </w:r>
      <w:r>
        <w:rPr>
          <w:color w:val="000000"/>
        </w:rPr>
        <w:t xml:space="preserve">CASPIAN-V (</w:t>
      </w:r>
      <w:r>
        <w:rPr>
          <w:color w:val="000000"/>
          <w:rtl/>
        </w:rPr>
        <w:t xml:space="preserve">۸٫۳۳) به‌جای کوارتیل نمونه.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• تحلیل جداگانه بر اساس جنس برای بررسی تفاوت‌های جنسیتی.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• تحلیل با حذف افراد دارای </w:t>
      </w:r>
      <w:r>
        <w:rPr>
          <w:color w:val="000000"/>
        </w:rPr>
        <w:t xml:space="preserve">eGFR</w:t>
      </w:r>
      <w:r>
        <w:rPr>
          <w:color w:val="000000"/>
          <w:rtl/>
        </w:rPr>
        <w:t xml:space="preserve"> پایه غیرعادی (بسیار بالا یا پایین).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• تحلیل با تعدیل اضافی برای </w:t>
      </w:r>
      <w:r>
        <w:rPr>
          <w:color w:val="000000"/>
        </w:rPr>
        <w:t xml:space="preserve">HDL-C</w:t>
      </w:r>
      <w:r>
        <w:rPr>
          <w:color w:val="000000"/>
          <w:rtl/>
        </w:rPr>
        <w:t xml:space="preserve"> به‌عنوان جزء دیگر پروفایل لیپیدی، برای بررسی استحکام اثر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• بررسی اثر ریزش و مرگ در طول پیگیری با مدل مشترک (</w:t>
      </w:r>
      <w:r>
        <w:rPr>
          <w:color w:val="000000"/>
        </w:rPr>
        <w:t xml:space="preserve">joint model</w:t>
      </w:r>
      <w:r>
        <w:rPr>
          <w:color w:val="000000"/>
          <w:rtl/>
        </w:rPr>
        <w:t xml:space="preserve">)، وزن‌دهی معکوس احتمال (</w:t>
      </w:r>
      <w:r>
        <w:rPr>
          <w:color w:val="000000"/>
        </w:rPr>
        <w:t xml:space="preserve">IPCW</w:t>
      </w:r>
      <w:r>
        <w:rPr>
          <w:color w:val="000000"/>
          <w:rtl/>
        </w:rPr>
        <w:t xml:space="preserve">) یا مدل </w:t>
      </w:r>
      <w:r>
        <w:rPr>
          <w:color w:val="000000"/>
        </w:rPr>
        <w:t xml:space="preserve">Fine-Gray</w:t>
      </w:r>
      <w:r>
        <w:rPr>
          <w:color w:val="000000"/>
          <w:rtl/>
        </w:rPr>
        <w:t xml:space="preserve"> در صورت کفایت داده.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جمع‌بندی روش‌شناسی: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این طراحی، امکان بررسی طولی ارتباط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دوران کودکی/نوجوانی با سیر و کاهش عملکرد کلیوی را فراهم می‌کند و با استفاده از مدل‌های آماری مناسب برای داده‌های تکراری و پیامدهای زمان تا رخداد، به سؤال اصلی مطالعه پاسخ می‌دهد: آیا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دوران کودکی/نوجوانی، مستقل از وضعیت وزن، پیش‌بینی‌کننده مستقلی برای افت عملکرد کلیوی در بزرگسالی است؟</w:t>
      </w:r>
    </w:p>
    <w:p w:rsidR="00B86BBD" w:rsidRDefault="00B86BBD" w:rsidP="00B86BBD">
      <w:pPr>
        <w:bidi/>
        <w:spacing w:after="80"/>
        <w:jc w:val="center"/>
      </w:pP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۲-۹-۸- جدول متغیرها </w:t>
      </w:r>
      <w:r>
        <w:rPr>
          <w:b/>
          <w:bCs/>
          <w:color w:val="000000"/>
          <w:sz w:val="23"/>
          <w:szCs w:val="23"/>
        </w:rPr>
        <w:t xml:space="preserve">Variables Table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تعریف نهایی برخی متغیرها، به‌ویژه معادله </w:t>
      </w:r>
      <w:r>
        <w:rPr>
          <w:color w:val="000000"/>
        </w:rPr>
        <w:t xml:space="preserve">eGFR</w:t>
      </w:r>
      <w:r>
        <w:rPr>
          <w:color w:val="000000"/>
          <w:rtl/>
        </w:rPr>
        <w:t xml:space="preserve"> و توزیع کوارتیل‌های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، بر اساس داده‌های موجود در پایگاه 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 در زمان استخراج داده نهایی خواهد شد.</w:t>
      </w:r>
    </w:p>
    <w:tbl>
      <w:tblPr>
        <w:tblStyle w:val="a6"/>
        <w:tblW w:w="96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7"/>
        <w:gridCol w:w="1982"/>
        <w:gridCol w:w="850"/>
        <w:gridCol w:w="854"/>
        <w:gridCol w:w="3116"/>
        <w:gridCol w:w="2199"/>
      </w:tblGrid>
      <w:tr w:rsidR="00B745AB" w:rsidTr="00230B21">
        <w:tc>
          <w:tcPr>
            <w:tcW w:w="677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/>
              </w:rPr>
              <w:t>ردیف</w:t>
            </w:r>
          </w:p>
        </w:tc>
        <w:tc>
          <w:tcPr>
            <w:tcW w:w="1982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/>
              </w:rPr>
              <w:t>نام متغیر</w:t>
            </w:r>
          </w:p>
        </w:tc>
        <w:tc>
          <w:tcPr>
            <w:tcW w:w="850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/>
              </w:rPr>
              <w:t>نوع متغیر</w:t>
            </w:r>
          </w:p>
        </w:tc>
        <w:tc>
          <w:tcPr>
            <w:tcW w:w="854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/>
              </w:rPr>
              <w:t>نقش متغیر</w:t>
            </w:r>
          </w:p>
        </w:tc>
        <w:tc>
          <w:tcPr>
            <w:tcW w:w="3116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/>
              </w:rPr>
              <w:t>تعریف عملیاتی</w:t>
            </w:r>
          </w:p>
        </w:tc>
        <w:tc>
          <w:tcPr>
            <w:tcW w:w="2199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/>
              </w:rPr>
              <w:t>نحوه و واحد اندازه‌گیری</w:t>
            </w:r>
          </w:p>
        </w:tc>
      </w:tr>
      <w:tr w:rsidR="00B745AB" w:rsidTr="00230B21">
        <w:tc>
          <w:tcPr>
            <w:tcW w:w="677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982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شاخص </w:t>
            </w:r>
            <w:r>
              <w:rPr>
                <w:sz w:val="16"/>
                <w:szCs w:val="16"/>
              </w:rPr>
              <w:t xml:space="preserve">TyG (</w:t>
            </w:r>
            <w:r>
              <w:rPr>
                <w:sz w:val="16"/>
                <w:szCs w:val="16"/>
                <w:rtl/>
              </w:rPr>
              <w:t xml:space="preserve">تری‌گلیسیرید–گلوکز)</w:t>
            </w:r>
          </w:p>
        </w:tc>
        <w:tc>
          <w:tcPr>
            <w:tcW w:w="850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کمی پیوسته</w:t>
            </w:r>
          </w:p>
        </w:tc>
        <w:tc>
          <w:tcPr>
            <w:tcW w:w="854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مستقل اصلی</w:t>
            </w:r>
          </w:p>
        </w:tc>
        <w:tc>
          <w:tcPr>
            <w:tcW w:w="3116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Ln</w:t>
            </w:r>
            <w:r>
              <w:rPr>
                <w:sz w:val="16"/>
                <w:szCs w:val="16"/>
                <w:rtl/>
              </w:rPr>
              <w:t xml:space="preserve">[تری‌گلیسیرید ناشتا (</w:t>
            </w:r>
            <w:r>
              <w:rPr>
                <w:sz w:val="16"/>
                <w:szCs w:val="16"/>
              </w:rPr>
              <w:t xml:space="preserve">mg/dL) ×</w:t>
            </w:r>
            <w:r>
              <w:rPr>
                <w:sz w:val="16"/>
                <w:szCs w:val="16"/>
                <w:rtl/>
              </w:rPr>
              <w:t xml:space="preserve"> گلوکز ناشتا (</w:t>
            </w:r>
            <w:r>
              <w:rPr>
                <w:sz w:val="16"/>
                <w:szCs w:val="16"/>
              </w:rPr>
              <w:t xml:space="preserve">mg/dL)/</w:t>
            </w:r>
            <w:r>
              <w:rPr>
                <w:sz w:val="16"/>
                <w:szCs w:val="16"/>
                <w:rtl/>
              </w:rPr>
              <w:t xml:space="preserve">۲] در سن ۷ تا ۱۸ سال</w:t>
            </w:r>
          </w:p>
        </w:tc>
        <w:tc>
          <w:tcPr>
            <w:tcW w:w="2199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واحد لگاریتمی؛ همچنین کوارتیل‌بندی</w:t>
            </w:r>
          </w:p>
        </w:tc>
      </w:tr>
      <w:tr w:rsidR="00B745AB" w:rsidTr="00230B21">
        <w:tc>
          <w:tcPr>
            <w:tcW w:w="677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982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تری‌گلیسیرید ناشتا</w:t>
            </w:r>
          </w:p>
        </w:tc>
        <w:tc>
          <w:tcPr>
            <w:tcW w:w="850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کمی پیوسته</w:t>
            </w:r>
          </w:p>
        </w:tc>
        <w:tc>
          <w:tcPr>
            <w:tcW w:w="854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مؤلفه مواجهه</w:t>
            </w:r>
          </w:p>
        </w:tc>
        <w:tc>
          <w:tcPr>
            <w:tcW w:w="3116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تری‌گلیسیرید سرم ناشتا، جزء فرمول </w:t>
            </w:r>
            <w:r>
              <w:rPr>
                <w:sz w:val="16"/>
                <w:szCs w:val="16"/>
              </w:rPr>
              <w:t xml:space="preserve">TyG</w:t>
            </w:r>
          </w:p>
        </w:tc>
        <w:tc>
          <w:tcPr>
            <w:tcW w:w="2199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mg/dL</w:t>
            </w:r>
          </w:p>
        </w:tc>
      </w:tr>
      <w:tr w:rsidR="00B745AB" w:rsidTr="00230B21">
        <w:tc>
          <w:tcPr>
            <w:tcW w:w="677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982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گلوکز پلاسمای ناشتا</w:t>
            </w:r>
          </w:p>
        </w:tc>
        <w:tc>
          <w:tcPr>
            <w:tcW w:w="850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کمی پیوسته</w:t>
            </w:r>
          </w:p>
        </w:tc>
        <w:tc>
          <w:tcPr>
            <w:tcW w:w="854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مؤلفه مواجهه</w:t>
            </w:r>
          </w:p>
        </w:tc>
        <w:tc>
          <w:tcPr>
            <w:tcW w:w="3116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گلوکز پلاسمای ناشتا، جزء فرمول </w:t>
            </w:r>
            <w:r>
              <w:rPr>
                <w:sz w:val="16"/>
                <w:szCs w:val="16"/>
              </w:rPr>
              <w:t xml:space="preserve">TyG</w:t>
            </w:r>
          </w:p>
        </w:tc>
        <w:tc>
          <w:tcPr>
            <w:tcW w:w="2199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mg/dL</w:t>
            </w:r>
          </w:p>
        </w:tc>
      </w:tr>
      <w:tr w:rsidR="00B745AB" w:rsidTr="00230B21">
        <w:tc>
          <w:tcPr>
            <w:tcW w:w="677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982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GFR slope</w:t>
            </w:r>
          </w:p>
        </w:tc>
        <w:tc>
          <w:tcPr>
            <w:tcW w:w="850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کمی پیوسته</w:t>
            </w:r>
          </w:p>
        </w:tc>
        <w:tc>
          <w:tcPr>
            <w:tcW w:w="854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وابسته اصلی</w:t>
            </w:r>
          </w:p>
        </w:tc>
        <w:tc>
          <w:tcPr>
            <w:tcW w:w="3116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نرخ تغییر سالانه </w:t>
            </w:r>
            <w:r>
              <w:rPr>
                <w:sz w:val="16"/>
                <w:szCs w:val="16"/>
              </w:rPr>
              <w:t xml:space="preserve">eGFR</w:t>
            </w:r>
            <w:r>
              <w:rPr>
                <w:sz w:val="16"/>
                <w:szCs w:val="16"/>
                <w:rtl/>
              </w:rPr>
              <w:t xml:space="preserve"> طی دوره پیگیری</w:t>
            </w:r>
          </w:p>
        </w:tc>
        <w:tc>
          <w:tcPr>
            <w:tcW w:w="2199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mL/min/1.73m²/year</w:t>
            </w:r>
          </w:p>
        </w:tc>
      </w:tr>
      <w:tr w:rsidR="00B745AB" w:rsidTr="00230B21">
        <w:tc>
          <w:tcPr>
            <w:tcW w:w="677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982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بروز </w:t>
            </w:r>
            <w:r>
              <w:rPr>
                <w:sz w:val="16"/>
                <w:szCs w:val="16"/>
              </w:rPr>
              <w:t xml:space="preserve">CKD</w:t>
            </w:r>
          </w:p>
        </w:tc>
        <w:tc>
          <w:tcPr>
            <w:tcW w:w="850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کیفی دوحالتی</w:t>
            </w:r>
          </w:p>
        </w:tc>
        <w:tc>
          <w:tcPr>
            <w:tcW w:w="854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وابسته ثانویه</w:t>
            </w:r>
          </w:p>
        </w:tc>
        <w:tc>
          <w:tcPr>
            <w:tcW w:w="3116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اولین </w:t>
            </w:r>
            <w:r>
              <w:rPr>
                <w:sz w:val="16"/>
                <w:szCs w:val="16"/>
              </w:rPr>
              <w:t xml:space="preserve">eGFR &lt;60 mL/min/1.73m²</w:t>
            </w:r>
            <w:r>
              <w:rPr>
                <w:sz w:val="16"/>
                <w:szCs w:val="16"/>
                <w:rtl/>
              </w:rPr>
              <w:t xml:space="preserve"> در حداقل دو ارزیابی متوالی</w:t>
            </w:r>
          </w:p>
        </w:tc>
        <w:tc>
          <w:tcPr>
            <w:tcW w:w="2199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بله/خیر؛ زمان تا رخداد</w:t>
            </w:r>
          </w:p>
        </w:tc>
      </w:tr>
      <w:tr w:rsidR="00B745AB" w:rsidTr="00230B21">
        <w:tc>
          <w:tcPr>
            <w:tcW w:w="677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/>
              <w:t xml:space="preserve">6</w:t>
            </w:r>
          </w:p>
        </w:tc>
        <w:tc>
          <w:tcPr>
            <w:tcW w:w="1982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کاهش سریع عملکرد کلیوی</w:t>
            </w:r>
          </w:p>
        </w:tc>
        <w:tc>
          <w:tcPr>
            <w:tcW w:w="850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کیفی دوحالتی</w:t>
            </w:r>
          </w:p>
        </w:tc>
        <w:tc>
          <w:tcPr>
            <w:tcW w:w="854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وابسته ثانویه</w:t>
            </w:r>
          </w:p>
        </w:tc>
        <w:tc>
          <w:tcPr>
            <w:tcW w:w="3116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شیب فردی </w:t>
            </w:r>
            <w:r>
              <w:rPr>
                <w:sz w:val="16"/>
                <w:szCs w:val="16"/>
              </w:rPr>
              <w:t xml:space="preserve">eGFR</w:t>
            </w:r>
            <w:r>
              <w:rPr>
                <w:sz w:val="16"/>
                <w:szCs w:val="16"/>
                <w:rtl/>
              </w:rPr>
              <w:t xml:space="preserve"> کمتر از −۳ </w:t>
            </w:r>
            <w:r>
              <w:rPr>
                <w:sz w:val="16"/>
                <w:szCs w:val="16"/>
              </w:rPr>
              <w:t xml:space="preserve">mL/min/1.73m²/year</w:t>
            </w:r>
          </w:p>
        </w:tc>
        <w:tc>
          <w:tcPr>
            <w:tcW w:w="2199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بله/خیر</w:t>
            </w:r>
          </w:p>
        </w:tc>
      </w:tr>
      <w:tr w:rsidR="00B745AB" w:rsidTr="00230B21">
        <w:tc>
          <w:tcPr>
            <w:tcW w:w="677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1982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کاهش ≥۳۰٪ </w:t>
            </w:r>
            <w:r>
              <w:rPr>
                <w:sz w:val="16"/>
                <w:szCs w:val="16"/>
              </w:rPr>
              <w:t xml:space="preserve">eGFR (</w:t>
            </w:r>
            <w:r>
              <w:rPr>
                <w:sz w:val="16"/>
                <w:szCs w:val="16"/>
                <w:rtl/>
              </w:rPr>
              <w:t xml:space="preserve">حساسیت)</w:t>
            </w:r>
          </w:p>
        </w:tc>
        <w:tc>
          <w:tcPr>
            <w:tcW w:w="850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کیفی دوحالتی</w:t>
            </w:r>
          </w:p>
        </w:tc>
        <w:tc>
          <w:tcPr>
            <w:tcW w:w="854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وابسته حساسیت</w:t>
            </w:r>
          </w:p>
        </w:tc>
        <w:tc>
          <w:tcPr>
            <w:tcW w:w="3116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کاهش حداقل ۳۰ درصدی </w:t>
            </w:r>
            <w:r>
              <w:rPr>
                <w:sz w:val="16"/>
                <w:szCs w:val="16"/>
              </w:rPr>
              <w:t xml:space="preserve">eGFR</w:t>
            </w:r>
            <w:r>
              <w:rPr>
                <w:sz w:val="16"/>
                <w:szCs w:val="16"/>
                <w:rtl/>
              </w:rPr>
              <w:t xml:space="preserve"> نسبت به پایه</w:t>
            </w:r>
          </w:p>
        </w:tc>
        <w:tc>
          <w:tcPr>
            <w:tcW w:w="2199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بله/خیر</w:t>
            </w:r>
          </w:p>
        </w:tc>
      </w:tr>
      <w:tr w:rsidR="00B745AB" w:rsidTr="00230B21">
        <w:tc>
          <w:tcPr>
            <w:tcW w:w="677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w="1982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وضعیت وزن (</w:t>
            </w:r>
            <w:r>
              <w:rPr>
                <w:sz w:val="16"/>
                <w:szCs w:val="16"/>
              </w:rPr>
              <w:t xml:space="preserve">BMI-for-age z-score</w:t>
            </w:r>
            <w:r>
              <w:rPr>
                <w:sz w:val="16"/>
                <w:szCs w:val="16"/>
                <w:rtl/>
              </w:rPr>
              <w:t xml:space="preserve">)</w:t>
            </w:r>
          </w:p>
        </w:tc>
        <w:tc>
          <w:tcPr>
            <w:tcW w:w="850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کمی پیوسته/کیفی</w:t>
            </w:r>
          </w:p>
        </w:tc>
        <w:tc>
          <w:tcPr>
            <w:tcW w:w="854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مخدوش‌کننده اصلی</w:t>
            </w:r>
          </w:p>
        </w:tc>
        <w:tc>
          <w:tcPr>
            <w:tcW w:w="3116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امتیاز </w:t>
            </w:r>
            <w:r>
              <w:rPr>
                <w:sz w:val="16"/>
                <w:szCs w:val="16"/>
              </w:rPr>
              <w:t xml:space="preserve">z</w:t>
            </w:r>
            <w:r>
              <w:rPr>
                <w:sz w:val="16"/>
                <w:szCs w:val="16"/>
                <w:rtl/>
              </w:rPr>
              <w:t xml:space="preserve"> شاخص توده بدنی بر اساس مرجع </w:t>
            </w:r>
            <w:r>
              <w:rPr>
                <w:sz w:val="16"/>
                <w:szCs w:val="16"/>
              </w:rPr>
              <w:t xml:space="preserve">WHO</w:t>
            </w:r>
          </w:p>
        </w:tc>
        <w:tc>
          <w:tcPr>
            <w:tcW w:w="2199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z-score (SD)</w:t>
            </w:r>
            <w:r>
              <w:rPr>
                <w:sz w:val="16"/>
                <w:szCs w:val="16"/>
                <w:rtl/>
              </w:rPr>
              <w:t xml:space="preserve">؛ وزن نرمال/اضافه‌وزن-چاقی</w:t>
            </w:r>
          </w:p>
        </w:tc>
      </w:tr>
      <w:tr w:rsidR="00B745AB" w:rsidTr="00230B21">
        <w:tc>
          <w:tcPr>
            <w:tcW w:w="677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w="1982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سن پایه</w:t>
            </w:r>
          </w:p>
        </w:tc>
        <w:tc>
          <w:tcPr>
            <w:tcW w:w="850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کمی پیوسته</w:t>
            </w:r>
          </w:p>
        </w:tc>
        <w:tc>
          <w:tcPr>
            <w:tcW w:w="854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مخدوش‌کننده</w:t>
            </w:r>
          </w:p>
        </w:tc>
        <w:tc>
          <w:tcPr>
            <w:tcW w:w="3116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سن در اولین ویزیت واجد شرایط، ۷ تا ۱۸ سال</w:t>
            </w:r>
          </w:p>
        </w:tc>
        <w:tc>
          <w:tcPr>
            <w:tcW w:w="2199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سال</w:t>
            </w:r>
          </w:p>
        </w:tc>
      </w:tr>
      <w:tr w:rsidR="00B745AB" w:rsidTr="00230B21">
        <w:tc>
          <w:tcPr>
            <w:tcW w:w="677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w="1982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جنس</w:t>
            </w:r>
          </w:p>
        </w:tc>
        <w:tc>
          <w:tcPr>
            <w:tcW w:w="850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کیفی دوحالتی</w:t>
            </w:r>
          </w:p>
        </w:tc>
        <w:tc>
          <w:tcPr>
            <w:tcW w:w="854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مخدوش‌کننده/زیرگروه</w:t>
            </w:r>
          </w:p>
        </w:tc>
        <w:tc>
          <w:tcPr>
            <w:tcW w:w="3116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جنس ثبت‌شده شرکت‌کننده</w:t>
            </w:r>
          </w:p>
        </w:tc>
        <w:tc>
          <w:tcPr>
            <w:tcW w:w="2199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مرد/زن</w:t>
            </w:r>
          </w:p>
        </w:tc>
      </w:tr>
      <w:tr w:rsidR="00B745AB" w:rsidTr="00230B21">
        <w:tc>
          <w:tcPr>
            <w:tcW w:w="677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w="1982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دور کمر</w:t>
            </w:r>
          </w:p>
        </w:tc>
        <w:tc>
          <w:tcPr>
            <w:tcW w:w="850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کمی پیوسته</w:t>
            </w:r>
          </w:p>
        </w:tc>
        <w:tc>
          <w:tcPr>
            <w:tcW w:w="854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توصیفی</w:t>
            </w:r>
          </w:p>
        </w:tc>
        <w:tc>
          <w:tcPr>
            <w:tcW w:w="3116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اندازه‌گیری دور کمر در ویزیت پایه</w:t>
            </w:r>
          </w:p>
        </w:tc>
        <w:tc>
          <w:tcPr>
            <w:tcW w:w="2199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سانتی‌متر</w:t>
            </w:r>
          </w:p>
        </w:tc>
      </w:tr>
      <w:tr w:rsidR="00B745AB" w:rsidTr="00230B21">
        <w:tc>
          <w:tcPr>
            <w:tcW w:w="677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w="1982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فشار خون سیستولیک/دیاستولیک</w:t>
            </w:r>
          </w:p>
        </w:tc>
        <w:tc>
          <w:tcPr>
            <w:tcW w:w="850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کمی پیوسته</w:t>
            </w:r>
          </w:p>
        </w:tc>
        <w:tc>
          <w:tcPr>
            <w:tcW w:w="854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مخدوش‌کننده</w:t>
            </w:r>
          </w:p>
        </w:tc>
        <w:tc>
          <w:tcPr>
            <w:tcW w:w="3116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میانگین فشار خون ثبت‌شده در ویزیت </w:t>
            </w:r>
            <w:r>
              <w:rPr>
                <w:sz w:val="16"/>
                <w:szCs w:val="16"/>
              </w:rPr>
              <w:t xml:space="preserve">TLGS</w:t>
            </w:r>
          </w:p>
        </w:tc>
        <w:tc>
          <w:tcPr>
            <w:tcW w:w="2199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mmHg</w:t>
            </w:r>
          </w:p>
        </w:tc>
      </w:tr>
      <w:tr w:rsidR="00B745AB" w:rsidTr="00230B21">
        <w:tc>
          <w:tcPr>
            <w:tcW w:w="677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tcW w:w="1982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HDL-C</w:t>
            </w:r>
          </w:p>
        </w:tc>
        <w:tc>
          <w:tcPr>
            <w:tcW w:w="850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کمی پیوسته</w:t>
            </w:r>
          </w:p>
        </w:tc>
        <w:tc>
          <w:tcPr>
            <w:tcW w:w="854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متغیر توصیفی/حساسیت</w:t>
            </w:r>
          </w:p>
        </w:tc>
        <w:tc>
          <w:tcPr>
            <w:tcW w:w="3116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کلسترول </w:t>
            </w:r>
            <w:r>
              <w:rPr>
                <w:sz w:val="16"/>
                <w:szCs w:val="16"/>
              </w:rPr>
              <w:t xml:space="preserve">HDL</w:t>
            </w:r>
            <w:r>
              <w:rPr>
                <w:sz w:val="16"/>
                <w:szCs w:val="16"/>
                <w:rtl/>
              </w:rPr>
              <w:t xml:space="preserve"> سرم</w:t>
            </w:r>
          </w:p>
        </w:tc>
        <w:tc>
          <w:tcPr>
            <w:tcW w:w="2199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mg/dL</w:t>
            </w:r>
          </w:p>
        </w:tc>
      </w:tr>
      <w:tr w:rsidR="00B745AB" w:rsidTr="00230B21">
        <w:tc>
          <w:tcPr>
            <w:tcW w:w="677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14</w:t>
            </w:r>
          </w:p>
        </w:tc>
        <w:tc>
          <w:tcPr>
            <w:tcW w:w="1982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کراتینین سرم</w:t>
            </w:r>
          </w:p>
        </w:tc>
        <w:tc>
          <w:tcPr>
            <w:tcW w:w="850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کمی پیوسته</w:t>
            </w:r>
          </w:p>
        </w:tc>
        <w:tc>
          <w:tcPr>
            <w:tcW w:w="854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متغیر محاسباتی</w:t>
            </w:r>
          </w:p>
        </w:tc>
        <w:tc>
          <w:tcPr>
            <w:tcW w:w="3116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کراتینین سرم برای محاسبه </w:t>
            </w:r>
            <w:r>
              <w:rPr>
                <w:sz w:val="16"/>
                <w:szCs w:val="16"/>
              </w:rPr>
              <w:t xml:space="preserve">eGFR</w:t>
            </w:r>
          </w:p>
        </w:tc>
        <w:tc>
          <w:tcPr>
            <w:tcW w:w="2199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mg/dL</w:t>
            </w:r>
          </w:p>
        </w:tc>
      </w:tr>
      <w:tr w:rsidR="00B745AB" w:rsidTr="00230B21">
        <w:tc>
          <w:tcPr>
            <w:tcW w:w="677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w="1982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eGFR</w:t>
            </w:r>
            <w:r>
              <w:rPr>
                <w:sz w:val="16"/>
                <w:szCs w:val="16"/>
                <w:rtl/>
              </w:rPr>
              <w:t xml:space="preserve"> پایه</w:t>
            </w:r>
          </w:p>
        </w:tc>
        <w:tc>
          <w:tcPr>
            <w:tcW w:w="850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کمی پیوسته</w:t>
            </w:r>
          </w:p>
        </w:tc>
        <w:tc>
          <w:tcPr>
            <w:tcW w:w="854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مخدوش‌کننده/پایه پیامد</w:t>
            </w:r>
          </w:p>
        </w:tc>
        <w:tc>
          <w:tcPr>
            <w:tcW w:w="3116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eGFR</w:t>
            </w:r>
            <w:r>
              <w:rPr>
                <w:sz w:val="16"/>
                <w:szCs w:val="16"/>
                <w:rtl/>
              </w:rPr>
              <w:t xml:space="preserve"> در اولین ویزیت واجد شرایط</w:t>
            </w:r>
          </w:p>
        </w:tc>
        <w:tc>
          <w:tcPr>
            <w:tcW w:w="2199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mL/min/1.73m²</w:t>
            </w:r>
          </w:p>
        </w:tc>
      </w:tr>
      <w:tr w:rsidR="00B745AB" w:rsidTr="00230B21">
        <w:tc>
          <w:tcPr>
            <w:tcW w:w="677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</w:t>
            </w:r>
          </w:p>
        </w:tc>
        <w:tc>
          <w:tcPr>
            <w:tcW w:w="1982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فعالیت بدنی</w:t>
            </w:r>
          </w:p>
        </w:tc>
        <w:tc>
          <w:tcPr>
            <w:tcW w:w="850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کیفی ترتیبی/کمی</w:t>
            </w:r>
          </w:p>
        </w:tc>
        <w:tc>
          <w:tcPr>
            <w:tcW w:w="854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مخدوش‌کننده</w:t>
            </w:r>
          </w:p>
        </w:tc>
        <w:tc>
          <w:tcPr>
            <w:tcW w:w="3116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بر اساس پرسشنامه فعالیت بدنی </w:t>
            </w:r>
            <w:r>
              <w:rPr>
                <w:sz w:val="16"/>
                <w:szCs w:val="16"/>
              </w:rPr>
              <w:t xml:space="preserve">TLGS</w:t>
            </w:r>
          </w:p>
        </w:tc>
        <w:tc>
          <w:tcPr>
            <w:tcW w:w="2199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کم/متوسط/زیاد یا امتیاز</w:t>
            </w:r>
          </w:p>
        </w:tc>
      </w:tr>
      <w:tr w:rsidR="00B745AB" w:rsidTr="00230B21">
        <w:tc>
          <w:tcPr>
            <w:tcW w:w="677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17</w:t>
            </w:r>
          </w:p>
        </w:tc>
        <w:tc>
          <w:tcPr>
            <w:tcW w:w="1982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سابقه خانوادگی دیابت/بیماری کلیوی</w:t>
            </w:r>
          </w:p>
        </w:tc>
        <w:tc>
          <w:tcPr>
            <w:tcW w:w="850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کیفی دوحالتی</w:t>
            </w:r>
          </w:p>
        </w:tc>
        <w:tc>
          <w:tcPr>
            <w:tcW w:w="854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مخدوش‌کننده احتمالی</w:t>
            </w:r>
          </w:p>
        </w:tc>
        <w:tc>
          <w:tcPr>
            <w:tcW w:w="3116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سابقه ثبت‌شده در بستگان درجه اول در صورت موجود بودن</w:t>
            </w:r>
          </w:p>
        </w:tc>
        <w:tc>
          <w:tcPr>
            <w:tcW w:w="2199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بله/خیر</w:t>
            </w:r>
          </w:p>
        </w:tc>
      </w:tr>
      <w:tr w:rsidR="00B745AB" w:rsidTr="00230B21">
        <w:tc>
          <w:tcPr>
            <w:tcW w:w="677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18</w:t>
            </w:r>
          </w:p>
        </w:tc>
        <w:tc>
          <w:tcPr>
            <w:tcW w:w="1982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مدت پیگیری</w:t>
            </w:r>
          </w:p>
        </w:tc>
        <w:tc>
          <w:tcPr>
            <w:tcW w:w="850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کمی پیوسته</w:t>
            </w:r>
          </w:p>
        </w:tc>
        <w:tc>
          <w:tcPr>
            <w:tcW w:w="854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متغیر زمانی</w:t>
            </w:r>
          </w:p>
        </w:tc>
        <w:tc>
          <w:tcPr>
            <w:tcW w:w="3116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فاصله بین ارزیابی پایه تا آخرین ویزیت یا رخداد پیامد</w:t>
            </w:r>
          </w:p>
        </w:tc>
        <w:tc>
          <w:tcPr>
            <w:tcW w:w="2199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سال</w:t>
            </w:r>
          </w:p>
        </w:tc>
      </w:tr>
      <w:tr w:rsidR="00B745AB" w:rsidTr="00230B21">
        <w:tc>
          <w:tcPr>
            <w:tcW w:w="677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19</w:t>
            </w:r>
          </w:p>
        </w:tc>
        <w:tc>
          <w:tcPr>
            <w:tcW w:w="1982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فاز مطالعه </w:t>
            </w:r>
            <w:r>
              <w:rPr>
                <w:sz w:val="16"/>
                <w:szCs w:val="16"/>
              </w:rPr>
              <w:t xml:space="preserve">TLGS</w:t>
            </w:r>
          </w:p>
        </w:tc>
        <w:tc>
          <w:tcPr>
            <w:tcW w:w="850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کیفی ترتیبی</w:t>
            </w:r>
          </w:p>
        </w:tc>
        <w:tc>
          <w:tcPr>
            <w:tcW w:w="854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متغیر ساختاری/زمانی</w:t>
            </w:r>
          </w:p>
        </w:tc>
        <w:tc>
          <w:tcPr>
            <w:tcW w:w="3116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فازهای </w:t>
            </w:r>
            <w:r>
              <w:rPr>
                <w:sz w:val="16"/>
                <w:szCs w:val="16"/>
              </w:rPr>
              <w:t xml:space="preserve">TLGS</w:t>
            </w:r>
            <w:r>
              <w:rPr>
                <w:sz w:val="16"/>
                <w:szCs w:val="16"/>
                <w:rtl/>
              </w:rPr>
              <w:t xml:space="preserve"> که داده‌های لازم در آن موجود باشد</w:t>
            </w:r>
          </w:p>
        </w:tc>
        <w:tc>
          <w:tcPr>
            <w:tcW w:w="2199" w:type="dxa"/>
            <w:vAlign w:val="center"/>
          </w:tcPr>
          <w:p w:rsidR="00B745AB" w:rsidRDefault="00000000" w:rsidP="00230B21">
            <w:pPr>
              <w:bidi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/>
              </w:rPr>
              <w:t xml:space="preserve">شماره فاز</w:t>
            </w:r>
          </w:p>
        </w:tc>
      </w:tr>
    </w:tbl>
    <w:p w:rsidR="00B86BBD" w:rsidRDefault="00B86BBD" w:rsidP="00B86BBD">
      <w:pPr>
        <w:bidi/>
        <w:spacing w:after="80"/>
        <w:jc w:val="center"/>
      </w:pP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گروه مرجع در مدل‌های اصلی، کوارتیل ۱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خواهد بود. در تحلیل ثانویه،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 و وضعیت وزن به‌صورت دو متغیر جداگانه و همراه با اثر متقابل بررسی می‌شوند.</w:t>
      </w:r>
    </w:p>
    <w:p w:rsidR="00B86BBD" w:rsidRDefault="00B86BBD" w:rsidP="00B86BBD">
      <w:pPr>
        <w:bidi/>
        <w:spacing w:after="80"/>
        <w:jc w:val="center"/>
      </w:pP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۲-۹-۹- جدول مراحل اجرای پروژه (</w:t>
      </w:r>
      <w:r>
        <w:rPr>
          <w:b/>
          <w:bCs/>
          <w:color w:val="000000"/>
          <w:sz w:val="23"/>
          <w:szCs w:val="23"/>
        </w:rPr>
        <w:t xml:space="preserve">GANTT</w:t>
      </w:r>
      <w:r>
        <w:rPr>
          <w:b/>
          <w:bCs/>
          <w:color w:val="000000"/>
          <w:sz w:val="23"/>
          <w:szCs w:val="23"/>
          <w:rtl/>
        </w:rPr>
        <w:t xml:space="preserve">) — مدت اجرا: ۱۸ ماه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برنامه زمان‌بندی زیر بر اساس اجرای ۱۸ ماهه پایان‌نامه و ماهیت تحلیل ثانویه داده‌های 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 تدوین شده است.</w:t>
      </w:r>
    </w:p>
    <w:tbl>
      <w:tblPr>
        <w:tblStyle w:val="a7"/>
        <w:tblW w:w="9799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54"/>
        <w:gridCol w:w="353"/>
        <w:gridCol w:w="353"/>
        <w:gridCol w:w="353"/>
        <w:gridCol w:w="353"/>
        <w:gridCol w:w="353"/>
        <w:gridCol w:w="353"/>
        <w:gridCol w:w="353"/>
        <w:gridCol w:w="353"/>
        <w:gridCol w:w="353"/>
        <w:gridCol w:w="466"/>
        <w:gridCol w:w="466"/>
        <w:gridCol w:w="466"/>
        <w:gridCol w:w="466"/>
        <w:gridCol w:w="466"/>
        <w:gridCol w:w="466"/>
        <w:gridCol w:w="466"/>
        <w:gridCol w:w="466"/>
        <w:gridCol w:w="466"/>
        <w:gridCol w:w="774"/>
      </w:tblGrid>
      <w:tr w:rsidR="00482041" w:rsidTr="00482041">
        <w:trPr>
          <w:trHeight w:val="453"/>
          <w:jc w:val="right"/>
        </w:trPr>
        <w:tc>
          <w:tcPr>
            <w:tcW w:w="1654" w:type="dxa"/>
            <w:shd w:val="clear" w:color="auto" w:fill="D9E2F3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b/>
                <w:bCs/>
                <w:sz w:val="16"/>
                <w:szCs w:val="16"/>
                <w:rtl/>
              </w:rPr>
              <w:t>مراحل اجرای پروژه</w:t>
            </w:r>
          </w:p>
        </w:tc>
        <w:tc>
          <w:tcPr>
            <w:tcW w:w="353" w:type="dxa"/>
            <w:shd w:val="clear" w:color="auto" w:fill="D9E2F3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b/>
                <w:bCs/>
                <w:sz w:val="15"/>
                <w:szCs w:val="15"/>
              </w:rPr>
              <w:t>1</w:t>
            </w:r>
          </w:p>
        </w:tc>
        <w:tc>
          <w:tcPr>
            <w:tcW w:w="353" w:type="dxa"/>
            <w:shd w:val="clear" w:color="auto" w:fill="D9E2F3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b/>
                <w:bCs/>
                <w:sz w:val="15"/>
                <w:szCs w:val="15"/>
              </w:rPr>
              <w:t>2</w:t>
            </w:r>
          </w:p>
        </w:tc>
        <w:tc>
          <w:tcPr>
            <w:tcW w:w="353" w:type="dxa"/>
            <w:shd w:val="clear" w:color="auto" w:fill="D9E2F3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b/>
                <w:bCs/>
                <w:sz w:val="15"/>
                <w:szCs w:val="15"/>
              </w:rPr>
              <w:t>3</w:t>
            </w:r>
          </w:p>
        </w:tc>
        <w:tc>
          <w:tcPr>
            <w:tcW w:w="353" w:type="dxa"/>
            <w:shd w:val="clear" w:color="auto" w:fill="D9E2F3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b/>
                <w:bCs/>
                <w:sz w:val="15"/>
                <w:szCs w:val="15"/>
              </w:rPr>
              <w:t>4</w:t>
            </w:r>
          </w:p>
        </w:tc>
        <w:tc>
          <w:tcPr>
            <w:tcW w:w="353" w:type="dxa"/>
            <w:shd w:val="clear" w:color="auto" w:fill="D9E2F3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b/>
                <w:bCs/>
                <w:sz w:val="15"/>
                <w:szCs w:val="15"/>
              </w:rPr>
              <w:t>5</w:t>
            </w:r>
          </w:p>
        </w:tc>
        <w:tc>
          <w:tcPr>
            <w:tcW w:w="353" w:type="dxa"/>
            <w:shd w:val="clear" w:color="auto" w:fill="D9E2F3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b/>
                <w:bCs/>
                <w:sz w:val="15"/>
                <w:szCs w:val="15"/>
              </w:rPr>
              <w:t>6</w:t>
            </w:r>
          </w:p>
        </w:tc>
        <w:tc>
          <w:tcPr>
            <w:tcW w:w="353" w:type="dxa"/>
            <w:shd w:val="clear" w:color="auto" w:fill="D9E2F3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b/>
                <w:bCs/>
                <w:sz w:val="15"/>
                <w:szCs w:val="15"/>
              </w:rPr>
              <w:t>7</w:t>
            </w:r>
          </w:p>
        </w:tc>
        <w:tc>
          <w:tcPr>
            <w:tcW w:w="353" w:type="dxa"/>
            <w:shd w:val="clear" w:color="auto" w:fill="D9E2F3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b/>
                <w:bCs/>
                <w:sz w:val="15"/>
                <w:szCs w:val="15"/>
              </w:rPr>
              <w:t>8</w:t>
            </w:r>
          </w:p>
        </w:tc>
        <w:tc>
          <w:tcPr>
            <w:tcW w:w="353" w:type="dxa"/>
            <w:shd w:val="clear" w:color="auto" w:fill="D9E2F3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b/>
                <w:bCs/>
                <w:sz w:val="15"/>
                <w:szCs w:val="15"/>
              </w:rPr>
              <w:t>9</w:t>
            </w:r>
          </w:p>
        </w:tc>
        <w:tc>
          <w:tcPr>
            <w:tcW w:w="466" w:type="dxa"/>
            <w:shd w:val="clear" w:color="auto" w:fill="D9E2F3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b/>
                <w:bCs/>
                <w:sz w:val="15"/>
                <w:szCs w:val="15"/>
              </w:rPr>
              <w:t>10</w:t>
            </w:r>
          </w:p>
        </w:tc>
        <w:tc>
          <w:tcPr>
            <w:tcW w:w="466" w:type="dxa"/>
            <w:shd w:val="clear" w:color="auto" w:fill="D9E2F3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b/>
                <w:bCs/>
                <w:sz w:val="15"/>
                <w:szCs w:val="15"/>
              </w:rPr>
              <w:t>11</w:t>
            </w:r>
          </w:p>
        </w:tc>
        <w:tc>
          <w:tcPr>
            <w:tcW w:w="466" w:type="dxa"/>
            <w:shd w:val="clear" w:color="auto" w:fill="D9E2F3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b/>
                <w:bCs/>
                <w:sz w:val="15"/>
                <w:szCs w:val="15"/>
              </w:rPr>
              <w:t>12</w:t>
            </w:r>
          </w:p>
        </w:tc>
        <w:tc>
          <w:tcPr>
            <w:tcW w:w="466" w:type="dxa"/>
            <w:shd w:val="clear" w:color="auto" w:fill="D9E2F3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b/>
                <w:bCs/>
                <w:sz w:val="15"/>
                <w:szCs w:val="15"/>
              </w:rPr>
              <w:t>13</w:t>
            </w:r>
          </w:p>
        </w:tc>
        <w:tc>
          <w:tcPr>
            <w:tcW w:w="466" w:type="dxa"/>
            <w:shd w:val="clear" w:color="auto" w:fill="D9E2F3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b/>
                <w:bCs/>
                <w:sz w:val="15"/>
                <w:szCs w:val="15"/>
              </w:rPr>
              <w:t>14</w:t>
            </w:r>
          </w:p>
        </w:tc>
        <w:tc>
          <w:tcPr>
            <w:tcW w:w="466" w:type="dxa"/>
            <w:shd w:val="clear" w:color="auto" w:fill="D9E2F3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b/>
                <w:bCs/>
                <w:sz w:val="15"/>
                <w:szCs w:val="15"/>
              </w:rPr>
              <w:t>15</w:t>
            </w:r>
          </w:p>
        </w:tc>
        <w:tc>
          <w:tcPr>
            <w:tcW w:w="466" w:type="dxa"/>
            <w:shd w:val="clear" w:color="auto" w:fill="D9E2F3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b/>
                <w:bCs/>
                <w:sz w:val="15"/>
                <w:szCs w:val="15"/>
              </w:rPr>
              <w:t>16</w:t>
            </w:r>
          </w:p>
        </w:tc>
        <w:tc>
          <w:tcPr>
            <w:tcW w:w="466" w:type="dxa"/>
            <w:shd w:val="clear" w:color="auto" w:fill="D9E2F3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b/>
                <w:bCs/>
                <w:sz w:val="15"/>
                <w:szCs w:val="15"/>
              </w:rPr>
              <w:t>17</w:t>
            </w:r>
          </w:p>
        </w:tc>
        <w:tc>
          <w:tcPr>
            <w:tcW w:w="466" w:type="dxa"/>
            <w:shd w:val="clear" w:color="auto" w:fill="D9E2F3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b/>
                <w:bCs/>
                <w:sz w:val="15"/>
                <w:szCs w:val="15"/>
              </w:rPr>
              <w:t>18</w:t>
            </w:r>
          </w:p>
        </w:tc>
        <w:tc>
          <w:tcPr>
            <w:tcW w:w="774" w:type="dxa"/>
            <w:shd w:val="clear" w:color="auto" w:fill="D9E2F3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b/>
                <w:bCs/>
                <w:sz w:val="16"/>
                <w:szCs w:val="16"/>
                <w:rtl/>
              </w:rPr>
              <w:t>درصد پیشرفت</w:t>
            </w:r>
          </w:p>
        </w:tc>
      </w:tr>
      <w:tr w:rsidR="00482041" w:rsidTr="00482041">
        <w:trPr>
          <w:trHeight w:val="475"/>
          <w:jc w:val="right"/>
        </w:trPr>
        <w:tc>
          <w:tcPr>
            <w:tcW w:w="1654" w:type="dxa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  <w:rtl/>
              </w:rPr>
              <w:t xml:space="preserve">اخذ تأییدیه اخلاقی و مجوز دسترسی به داده‌های </w:t>
            </w:r>
            <w:r>
              <w:rPr>
                <w:sz w:val="16"/>
                <w:szCs w:val="16"/>
              </w:rPr>
              <w:t xml:space="preserve">TLGS</w:t>
            </w:r>
          </w:p>
        </w:tc>
        <w:tc>
          <w:tcPr>
            <w:tcW w:w="353" w:type="dxa"/>
            <w:shd w:val="clear" w:color="auto" w:fill="1F497D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>■</w:t>
            </w:r>
          </w:p>
        </w:tc>
        <w:tc>
          <w:tcPr>
            <w:tcW w:w="353" w:type="dxa"/>
            <w:shd w:val="clear" w:color="auto" w:fill="1F497D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>■</w:t>
            </w: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774" w:type="dxa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 xml:space="preserve">7%</w:t>
            </w:r>
          </w:p>
        </w:tc>
      </w:tr>
      <w:tr w:rsidR="00482041" w:rsidTr="00482041">
        <w:trPr>
          <w:trHeight w:val="928"/>
          <w:jc w:val="right"/>
        </w:trPr>
        <w:tc>
          <w:tcPr>
            <w:tcW w:w="1654" w:type="dxa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  <w:rtl/>
              </w:rPr>
              <w:t xml:space="preserve">هماهنگی با پژوهشکده و نهایی‌سازی محدوده سنی و تعریف </w:t>
            </w:r>
            <w:r>
              <w:rPr>
                <w:sz w:val="16"/>
                <w:szCs w:val="16"/>
              </w:rPr>
              <w:t xml:space="preserve">TyG</w:t>
            </w:r>
            <w:r>
              <w:rPr>
                <w:sz w:val="16"/>
                <w:szCs w:val="16"/>
                <w:rtl/>
              </w:rPr>
              <w:t xml:space="preserve"> بر اساس داده‌های موجود</w:t>
            </w:r>
          </w:p>
        </w:tc>
        <w:tc>
          <w:tcPr>
            <w:tcW w:w="353" w:type="dxa"/>
            <w:shd w:val="clear" w:color="auto" w:fill="1F497D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>■</w:t>
            </w:r>
          </w:p>
        </w:tc>
        <w:tc>
          <w:tcPr>
            <w:tcW w:w="353" w:type="dxa"/>
            <w:shd w:val="clear" w:color="auto" w:fill="1F497D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>■</w:t>
            </w:r>
          </w:p>
        </w:tc>
        <w:tc>
          <w:tcPr>
            <w:tcW w:w="353" w:type="dxa"/>
            <w:shd w:val="clear" w:color="auto" w:fill="1F497D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>■</w:t>
            </w: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774" w:type="dxa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 xml:space="preserve">7%</w:t>
            </w:r>
          </w:p>
        </w:tc>
      </w:tr>
      <w:tr w:rsidR="00482041" w:rsidTr="00482041">
        <w:trPr>
          <w:trHeight w:val="475"/>
          <w:jc w:val="right"/>
        </w:trPr>
        <w:tc>
          <w:tcPr>
            <w:tcW w:w="1654" w:type="dxa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  <w:rtl/>
              </w:rPr>
              <w:t xml:space="preserve">استخراج و دریافت داده‌ها از پایگاه </w:t>
            </w:r>
            <w:r>
              <w:rPr>
                <w:sz w:val="16"/>
                <w:szCs w:val="16"/>
              </w:rPr>
              <w:t xml:space="preserve">TLGS</w:t>
            </w: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shd w:val="clear" w:color="auto" w:fill="1F497D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>■</w:t>
            </w:r>
          </w:p>
        </w:tc>
        <w:tc>
          <w:tcPr>
            <w:tcW w:w="353" w:type="dxa"/>
            <w:shd w:val="clear" w:color="auto" w:fill="1F497D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>■</w:t>
            </w: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774" w:type="dxa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 xml:space="preserve">7%</w:t>
            </w:r>
          </w:p>
        </w:tc>
      </w:tr>
      <w:tr w:rsidR="00482041" w:rsidTr="00482041">
        <w:trPr>
          <w:trHeight w:val="691"/>
          <w:jc w:val="right"/>
        </w:trPr>
        <w:tc>
          <w:tcPr>
            <w:tcW w:w="1654" w:type="dxa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  <w:rtl/>
              </w:rPr>
              <w:t xml:space="preserve">پاک‌سازی داده، بررسی داده‌های گمشده و آماده‌سازی دیتاست اولیه</w:t>
            </w: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shd w:val="clear" w:color="auto" w:fill="1F497D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>■</w:t>
            </w:r>
          </w:p>
        </w:tc>
        <w:tc>
          <w:tcPr>
            <w:tcW w:w="353" w:type="dxa"/>
            <w:shd w:val="clear" w:color="auto" w:fill="1F497D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>■</w:t>
            </w:r>
          </w:p>
        </w:tc>
        <w:tc>
          <w:tcPr>
            <w:tcW w:w="353" w:type="dxa"/>
            <w:shd w:val="clear" w:color="auto" w:fill="1F497D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>■</w:t>
            </w: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774" w:type="dxa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 xml:space="preserve">7%</w:t>
            </w:r>
          </w:p>
        </w:tc>
      </w:tr>
      <w:tr w:rsidR="00482041" w:rsidTr="00482041">
        <w:trPr>
          <w:trHeight w:val="928"/>
          <w:jc w:val="right"/>
        </w:trPr>
        <w:tc>
          <w:tcPr>
            <w:tcW w:w="1654" w:type="dxa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  <w:rtl/>
              </w:rPr>
              <w:t xml:space="preserve">محاسبه </w:t>
            </w:r>
            <w:r>
              <w:rPr>
                <w:sz w:val="16"/>
                <w:szCs w:val="16"/>
              </w:rPr>
              <w:t xml:space="preserve">TyG Index</w:t>
            </w:r>
            <w:r>
              <w:rPr>
                <w:sz w:val="16"/>
                <w:szCs w:val="16"/>
                <w:rtl/>
              </w:rPr>
              <w:t xml:space="preserve"> و تعیین کوارتیل‌ها و آستانه </w:t>
            </w:r>
            <w:r>
              <w:rPr>
                <w:sz w:val="16"/>
                <w:szCs w:val="16"/>
              </w:rPr>
              <w:t xml:space="preserve">CASPIAN-V</w:t>
            </w: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shd w:val="clear" w:color="auto" w:fill="1F497D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>■</w:t>
            </w:r>
          </w:p>
        </w:tc>
        <w:tc>
          <w:tcPr>
            <w:tcW w:w="353" w:type="dxa"/>
            <w:shd w:val="clear" w:color="auto" w:fill="1F497D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>■</w:t>
            </w:r>
          </w:p>
        </w:tc>
        <w:tc>
          <w:tcPr>
            <w:tcW w:w="353" w:type="dxa"/>
            <w:shd w:val="clear" w:color="auto" w:fill="1F497D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>■</w:t>
            </w: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774" w:type="dxa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 xml:space="preserve">8%</w:t>
            </w:r>
          </w:p>
        </w:tc>
      </w:tr>
      <w:tr w:rsidR="00482041" w:rsidTr="00482041">
        <w:trPr>
          <w:trHeight w:val="950"/>
          <w:jc w:val="right"/>
        </w:trPr>
        <w:tc>
          <w:tcPr>
            <w:tcW w:w="1654" w:type="dxa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  <w:rtl/>
              </w:rPr>
              <w:t xml:space="preserve">محاسبه </w:t>
            </w:r>
            <w:r>
              <w:rPr>
                <w:sz w:val="16"/>
                <w:szCs w:val="16"/>
              </w:rPr>
              <w:t xml:space="preserve">eGFR</w:t>
            </w:r>
            <w:r>
              <w:rPr>
                <w:sz w:val="16"/>
                <w:szCs w:val="16"/>
                <w:rtl/>
              </w:rPr>
              <w:t xml:space="preserve"> و تعریف پیامدهای کلیوی بر اساس داده‌های موجود</w:t>
            </w: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shd w:val="clear" w:color="auto" w:fill="1F497D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>■</w:t>
            </w:r>
          </w:p>
        </w:tc>
        <w:tc>
          <w:tcPr>
            <w:tcW w:w="353" w:type="dxa"/>
            <w:shd w:val="clear" w:color="auto" w:fill="1F497D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>■</w:t>
            </w:r>
          </w:p>
        </w:tc>
        <w:tc>
          <w:tcPr>
            <w:tcW w:w="353" w:type="dxa"/>
            <w:shd w:val="clear" w:color="auto" w:fill="1F497D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>■</w:t>
            </w: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774" w:type="dxa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 xml:space="preserve">8%</w:t>
            </w:r>
          </w:p>
        </w:tc>
      </w:tr>
      <w:tr w:rsidR="00482041" w:rsidTr="00482041">
        <w:trPr>
          <w:trHeight w:val="453"/>
          <w:jc w:val="right"/>
        </w:trPr>
        <w:tc>
          <w:tcPr>
            <w:tcW w:w="1654" w:type="dxa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  <w:rtl/>
              </w:rPr>
              <w:t xml:space="preserve">تحلیل توصیفی و مقایسه مشخصات پایه بین کوارتیل‌های </w:t>
            </w:r>
            <w:r>
              <w:rPr>
                <w:sz w:val="16"/>
                <w:szCs w:val="16"/>
              </w:rPr>
              <w:t xml:space="preserve">TyG</w:t>
            </w: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shd w:val="clear" w:color="auto" w:fill="1F497D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>■</w:t>
            </w:r>
          </w:p>
        </w:tc>
        <w:tc>
          <w:tcPr>
            <w:tcW w:w="353" w:type="dxa"/>
            <w:shd w:val="clear" w:color="auto" w:fill="1F497D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>■</w:t>
            </w: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774" w:type="dxa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 xml:space="preserve">6%</w:t>
            </w:r>
          </w:p>
        </w:tc>
      </w:tr>
      <w:tr w:rsidR="00482041" w:rsidTr="00482041">
        <w:trPr>
          <w:trHeight w:val="712"/>
          <w:jc w:val="right"/>
        </w:trPr>
        <w:tc>
          <w:tcPr>
            <w:tcW w:w="1654" w:type="dxa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  <w:rtl/>
              </w:rPr>
              <w:t xml:space="preserve">اجرای مدل‌های </w:t>
            </w:r>
            <w:r>
              <w:rPr>
                <w:sz w:val="16"/>
                <w:szCs w:val="16"/>
              </w:rPr>
              <w:t xml:space="preserve">Linear Mixed Effects</w:t>
            </w:r>
            <w:r>
              <w:rPr>
                <w:sz w:val="16"/>
                <w:szCs w:val="16"/>
                <w:rtl/>
              </w:rPr>
              <w:t xml:space="preserve"> برای </w:t>
            </w:r>
            <w:r>
              <w:rPr>
                <w:sz w:val="16"/>
                <w:szCs w:val="16"/>
              </w:rPr>
              <w:t xml:space="preserve">GFR slope</w:t>
            </w: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shd w:val="clear" w:color="auto" w:fill="1F497D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>■</w:t>
            </w:r>
          </w:p>
        </w:tc>
        <w:tc>
          <w:tcPr>
            <w:tcW w:w="466" w:type="dxa"/>
            <w:shd w:val="clear" w:color="auto" w:fill="1F497D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>■</w:t>
            </w:r>
          </w:p>
        </w:tc>
        <w:tc>
          <w:tcPr>
            <w:tcW w:w="466" w:type="dxa"/>
            <w:shd w:val="clear" w:color="auto" w:fill="1F497D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>■</w:t>
            </w: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774" w:type="dxa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 xml:space="preserve">10%</w:t>
            </w:r>
          </w:p>
        </w:tc>
      </w:tr>
      <w:tr w:rsidR="00482041" w:rsidTr="00482041">
        <w:trPr>
          <w:trHeight w:val="1188"/>
          <w:jc w:val="right"/>
        </w:trPr>
        <w:tc>
          <w:tcPr>
            <w:tcW w:w="1654" w:type="dxa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  <w:rtl/>
              </w:rPr>
              <w:t xml:space="preserve">اجرای </w:t>
            </w:r>
            <w:r>
              <w:rPr>
                <w:sz w:val="16"/>
                <w:szCs w:val="16"/>
              </w:rPr>
              <w:t xml:space="preserve">Cox/Logistic Regression</w:t>
            </w:r>
            <w:r>
              <w:rPr>
                <w:sz w:val="16"/>
                <w:szCs w:val="16"/>
                <w:rtl/>
              </w:rPr>
              <w:t xml:space="preserve"> برای </w:t>
            </w:r>
            <w:r>
              <w:rPr>
                <w:sz w:val="16"/>
                <w:szCs w:val="16"/>
              </w:rPr>
              <w:t xml:space="preserve">Incident CKD</w:t>
            </w:r>
            <w:r>
              <w:rPr>
                <w:sz w:val="16"/>
                <w:szCs w:val="16"/>
                <w:rtl/>
              </w:rPr>
              <w:t xml:space="preserve"> و </w:t>
            </w:r>
            <w:r>
              <w:rPr>
                <w:sz w:val="16"/>
                <w:szCs w:val="16"/>
              </w:rPr>
              <w:t xml:space="preserve">Rapid Decline</w:t>
            </w: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shd w:val="clear" w:color="auto" w:fill="1F497D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>■</w:t>
            </w:r>
          </w:p>
        </w:tc>
        <w:tc>
          <w:tcPr>
            <w:tcW w:w="466" w:type="dxa"/>
            <w:shd w:val="clear" w:color="auto" w:fill="1F497D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>■</w:t>
            </w:r>
          </w:p>
        </w:tc>
        <w:tc>
          <w:tcPr>
            <w:tcW w:w="466" w:type="dxa"/>
            <w:shd w:val="clear" w:color="auto" w:fill="1F497D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>■</w:t>
            </w: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774" w:type="dxa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 xml:space="preserve">10%</w:t>
            </w:r>
          </w:p>
        </w:tc>
      </w:tr>
      <w:tr w:rsidR="00482041" w:rsidTr="00482041">
        <w:trPr>
          <w:trHeight w:val="453"/>
          <w:jc w:val="right"/>
        </w:trPr>
        <w:tc>
          <w:tcPr>
            <w:tcW w:w="1654" w:type="dxa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  <w:rtl/>
              </w:rPr>
              <w:t xml:space="preserve">تحلیل اثر متقابل </w:t>
            </w:r>
            <w:r>
              <w:rPr>
                <w:sz w:val="16"/>
                <w:szCs w:val="16"/>
              </w:rPr>
              <w:t xml:space="preserve">TyG ×</w:t>
            </w:r>
            <w:r>
              <w:rPr>
                <w:sz w:val="16"/>
                <w:szCs w:val="16"/>
                <w:rtl/>
              </w:rPr>
              <w:t xml:space="preserve"> وضعیت وزن و تحلیل‌های حساسیت</w:t>
            </w: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shd w:val="clear" w:color="auto" w:fill="1F497D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>■</w:t>
            </w:r>
          </w:p>
        </w:tc>
        <w:tc>
          <w:tcPr>
            <w:tcW w:w="466" w:type="dxa"/>
            <w:shd w:val="clear" w:color="auto" w:fill="1F497D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>■</w:t>
            </w: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774" w:type="dxa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 xml:space="preserve">6%</w:t>
            </w:r>
          </w:p>
        </w:tc>
      </w:tr>
      <w:tr w:rsidR="00482041" w:rsidTr="00482041">
        <w:trPr>
          <w:trHeight w:val="475"/>
          <w:jc w:val="right"/>
        </w:trPr>
        <w:tc>
          <w:tcPr>
            <w:tcW w:w="1654" w:type="dxa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  <w:rtl/>
              </w:rPr>
              <w:t xml:space="preserve">تفسیر نتایج، تهیه جداول و نمودارهای پایان‌نامه/مقاله</w:t>
            </w: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shd w:val="clear" w:color="auto" w:fill="1F497D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>■</w:t>
            </w:r>
          </w:p>
        </w:tc>
        <w:tc>
          <w:tcPr>
            <w:tcW w:w="466" w:type="dxa"/>
            <w:shd w:val="clear" w:color="auto" w:fill="1F497D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>■</w:t>
            </w: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774" w:type="dxa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 xml:space="preserve">6%</w:t>
            </w:r>
          </w:p>
        </w:tc>
      </w:tr>
      <w:tr w:rsidR="00482041" w:rsidTr="00482041">
        <w:trPr>
          <w:trHeight w:val="453"/>
          <w:jc w:val="right"/>
        </w:trPr>
        <w:tc>
          <w:tcPr>
            <w:tcW w:w="1654" w:type="dxa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  <w:rtl/>
              </w:rPr>
              <w:t xml:space="preserve">نگارش پیش‌نویس پایان‌نامه و مقاله</w:t>
            </w: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shd w:val="clear" w:color="auto" w:fill="1F497D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>■</w:t>
            </w:r>
          </w:p>
        </w:tc>
        <w:tc>
          <w:tcPr>
            <w:tcW w:w="466" w:type="dxa"/>
            <w:shd w:val="clear" w:color="auto" w:fill="1F497D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>■</w:t>
            </w: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774" w:type="dxa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 xml:space="preserve">6%</w:t>
            </w:r>
          </w:p>
        </w:tc>
      </w:tr>
      <w:tr w:rsidR="00482041" w:rsidTr="00482041">
        <w:trPr>
          <w:trHeight w:val="691"/>
          <w:jc w:val="right"/>
        </w:trPr>
        <w:tc>
          <w:tcPr>
            <w:tcW w:w="1654" w:type="dxa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  <w:rtl/>
              </w:rPr>
              <w:t xml:space="preserve">بازبینی استاد راهنما و مشاوران و اعمال اصلاحات</w:t>
            </w: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shd w:val="clear" w:color="auto" w:fill="1F497D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>■</w:t>
            </w:r>
          </w:p>
        </w:tc>
        <w:tc>
          <w:tcPr>
            <w:tcW w:w="466" w:type="dxa"/>
            <w:shd w:val="clear" w:color="auto" w:fill="1F497D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>■</w:t>
            </w: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774" w:type="dxa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 xml:space="preserve">6%</w:t>
            </w:r>
          </w:p>
        </w:tc>
      </w:tr>
      <w:tr w:rsidR="00482041" w:rsidTr="00482041">
        <w:trPr>
          <w:trHeight w:val="453"/>
          <w:jc w:val="right"/>
        </w:trPr>
        <w:tc>
          <w:tcPr>
            <w:tcW w:w="1654" w:type="dxa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  <w:rtl/>
              </w:rPr>
              <w:t xml:space="preserve">آماده‌سازی نهایی، ارسال مقاله و دفاع پایان‌نامه</w:t>
            </w: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353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vAlign w:val="center"/>
          </w:tcPr>
          <w:p w:rsidR="00B745AB" w:rsidRDefault="00B745AB" w:rsidP="00C77B33">
            <w:pPr>
              <w:bidi/>
              <w:jc w:val="center"/>
            </w:pPr>
          </w:p>
        </w:tc>
        <w:tc>
          <w:tcPr>
            <w:tcW w:w="466" w:type="dxa"/>
            <w:shd w:val="clear" w:color="auto" w:fill="1F497D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>■</w:t>
            </w:r>
          </w:p>
        </w:tc>
        <w:tc>
          <w:tcPr>
            <w:tcW w:w="774" w:type="dxa"/>
            <w:vAlign w:val="center"/>
          </w:tcPr>
          <w:p w:rsidR="00B745AB" w:rsidRDefault="00000000" w:rsidP="00C77B33">
            <w:pPr>
              <w:bidi/>
              <w:jc w:val="center"/>
            </w:pPr>
            <w:r>
              <w:rPr>
                <w:sz w:val="16"/>
                <w:szCs w:val="16"/>
              </w:rPr>
              <w:t xml:space="preserve">6%</w:t>
            </w:r>
          </w:p>
        </w:tc>
      </w:tr>
    </w:tbl>
    <w:p w:rsidR="00B745AB" w:rsidRDefault="00000000" w:rsidP="00230B21">
      <w:pPr>
        <w:bidi/>
        <w:spacing w:after="100"/>
        <w:ind w:firstLine="283"/>
        <w:jc w:val="both"/>
        <w:rPr>
          <w:sz w:val="20"/>
          <w:szCs w:val="20"/>
        </w:rPr>
      </w:pPr>
      <w:r>
        <w:rPr>
          <w:i/>
          <w:iCs/>
          <w:color w:val="555555"/>
          <w:sz w:val="16"/>
          <w:szCs w:val="16"/>
          <w:rtl/>
        </w:rPr>
        <w:t xml:space="preserve">توضیح اجرایی: از آنجا که این پژوهش مبتنی بر تحلیل ثانویه داده‌های </w:t>
      </w:r>
      <w:r>
        <w:rPr>
          <w:i/>
          <w:iCs/>
          <w:color w:val="555555"/>
          <w:sz w:val="16"/>
          <w:szCs w:val="16"/>
        </w:rPr>
        <w:t xml:space="preserve">TLGS</w:t>
      </w:r>
      <w:r>
        <w:rPr>
          <w:i/>
          <w:iCs/>
          <w:color w:val="555555"/>
          <w:sz w:val="16"/>
          <w:szCs w:val="16"/>
          <w:rtl/>
        </w:rPr>
        <w:t xml:space="preserve"> است، بیشترین زمان پروژه به دریافت داده، پاک‌سازی، محاسبه </w:t>
      </w:r>
      <w:r>
        <w:rPr>
          <w:i/>
          <w:iCs/>
          <w:color w:val="555555"/>
          <w:sz w:val="16"/>
          <w:szCs w:val="16"/>
        </w:rPr>
        <w:t xml:space="preserve">TyG</w:t>
      </w:r>
      <w:r>
        <w:rPr>
          <w:i/>
          <w:iCs/>
          <w:color w:val="555555"/>
          <w:sz w:val="16"/>
          <w:szCs w:val="16"/>
          <w:rtl/>
        </w:rPr>
        <w:t xml:space="preserve">، محاسبه پیامدهای کلیوی و مدل‌سازی آماری اختصاص می‌یابد و هیچ مرحله نمونه‌گیری یا مداخله مستقیم انسانی انجام نمی‌شود.</w:t>
      </w:r>
    </w:p>
    <w:p w:rsidR="00B86BBD" w:rsidRDefault="00B86BBD" w:rsidP="00B86BBD">
      <w:pPr>
        <w:bidi/>
        <w:spacing w:after="80"/>
        <w:jc w:val="center"/>
      </w:pPr>
    </w:p>
    <w:p w:rsidR="00B745AB" w:rsidRDefault="00000000" w:rsidP="00230B21">
      <w:pPr>
        <w:bidi/>
        <w:spacing w:before="240" w:after="100"/>
        <w:jc w:val="both"/>
      </w:pPr>
      <w:r>
        <w:rPr>
          <w:b/>
          <w:bCs/>
          <w:color w:val="1F497D"/>
          <w:sz w:val="26"/>
          <w:szCs w:val="26"/>
          <w:rtl/>
        </w:rPr>
        <w:t xml:space="preserve">۲-۱۰- ملاحظات اخلاقی </w:t>
      </w:r>
      <w:r>
        <w:rPr>
          <w:b/>
          <w:bCs/>
          <w:color w:val="1F497D"/>
          <w:sz w:val="26"/>
          <w:szCs w:val="26"/>
        </w:rPr>
        <w:t xml:space="preserve">Ethical Considerations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مطالعه حاضر یک تحلیل ثانویه بر روی داده‌های موجود مطالعه قند و لیپید تهران (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) است. در این پژوهش هیچ مداخله درمانی، تشخیصی یا آموزشی جدیدی بر روی شرکت‌کنندگان انجام نخواهد شد و هیچ تماس مستقیمی با افراد مورد مطالعه برقرار نمی‌شود.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داده‌های مورد استفاده پس از اخذ مجوزهای لازم از پژوهشکده علوم غدد درون‌ریز و متابولیسم و پس از دریافت تأییدیه کمیته اخلاق دانشگاه علوم پزشکی شهید بهشتی در اختیار پژوهشگر قرار خواهد گرفت. تمامی داده‌ها پیش از تحویل به پژوهشگر ناشناس‌سازی شده و فاقد شناسه‌های مستقیم فردی خواهند بود.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اطلاعات فردی شرکت‌کنندگان شامل نام، شماره ملی، نشانی، شماره تماس یا هرگونه شناسه قابل ردیابی در اختیار پژوهشگر قرار نخواهد گرفت. تحلیل‌ها صرفاً بر اساس کدهای پژوهشی و داده‌های تجمعی انجام می‌شود.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نتایج مطالعه فقط به صورت کلی و گروهی گزارش خواهد شد و هیچ‌گونه اطلاعات فردی یا قابل شناسایی در پایان‌نامه، مقاله، ارائه علمی یا گزارش پژوهشی منتشر نخواهد شد.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از آنجا که مطالعه حاضر مبتنی بر داده‌های موجود 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 است و تماس مستقیم یا اخذ نمونه جدید از شرکت‌کنندگان انجام نمی‌شود، خطر مستقیم برای شرکت‌کنندگان وجود ندارد. با این حال اصول محرمانگی، امانت‌داری علمی، امنیت داده و استفاده محدود از داده‌ها رعایت خواهد شد.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پژوهشگران متعهد می‌شوند داده‌های دریافت‌شده را صرفاً در چارچوب اهداف مصوب این پروپوزال استفاده کنند و از انتقال داده خام به اشخاص یا مراکز غیرمجاز خودداری نمایند.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تمامی مراحل پژوهش مطابق اصول بیانیه هلسینکی، دستورالعمل‌های اخلاق در پژوهش‌های علوم پزشکی کشور و الزامات کمیته اخلاق دانشگاه علوم پزشکی شهید بهشتی انجام خواهد شد.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در این مطالعه تعارض منافع شناخته‌شده‌ای وجود ندارد. در صورت بروز هرگونه تعارض احتمالی در مراحل بعدی، موضوع به صورت شفاف به استاد راهنما، گروه آموزشی و کمیته اخلاق گزارش خواهد شد.</w:t>
      </w:r>
    </w:p>
    <w:p w:rsidR="00B86BBD" w:rsidRDefault="00B86BBD" w:rsidP="00B86BBD">
      <w:pPr>
        <w:bidi/>
        <w:spacing w:after="80"/>
        <w:jc w:val="center"/>
      </w:pPr>
    </w:p>
    <w:p w:rsidR="00B745AB" w:rsidRDefault="00000000" w:rsidP="00230B21">
      <w:pPr>
        <w:bidi/>
        <w:spacing w:after="80"/>
        <w:jc w:val="both"/>
      </w:pPr>
      <w:r>
        <w:rPr>
          <w:b/>
          <w:bCs/>
          <w:color w:val="000000"/>
          <w:sz w:val="23"/>
          <w:szCs w:val="23"/>
          <w:rtl/>
        </w:rPr>
        <w:t xml:space="preserve">نکات اجرایی مرتبط با محرمانگی داده‌ها: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</w:rPr>
        <w:t xml:space="preserve">1</w:t>
      </w:r>
      <w:r>
        <w:rPr>
          <w:color w:val="000000"/>
          <w:rtl/>
        </w:rPr>
        <w:t xml:space="preserve">. داده‌ها به صورت ناشناس و با کد پژوهشی تحلیل خواهند شد.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</w:rPr>
        <w:t xml:space="preserve">2</w:t>
      </w:r>
      <w:r>
        <w:rPr>
          <w:color w:val="000000"/>
          <w:rtl/>
        </w:rPr>
        <w:t xml:space="preserve">. دسترسی به فایل داده خام محدود به پژوهشگران مجاز خواهد بود.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</w:rPr>
        <w:t xml:space="preserve">3</w:t>
      </w:r>
      <w:r>
        <w:rPr>
          <w:color w:val="000000"/>
          <w:rtl/>
        </w:rPr>
        <w:t xml:space="preserve">. فایل‌های تحلیلی در محیط امن ذخیره شده و از انتشار داده خام جلوگیری می‌شود.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</w:rPr>
        <w:t xml:space="preserve">4</w:t>
      </w:r>
      <w:r>
        <w:rPr>
          <w:color w:val="000000"/>
          <w:rtl/>
        </w:rPr>
        <w:t xml:space="preserve">. در گزارش نهایی، جداول با تعداد کم در هر سلول به نحوی گزارش می‌شوند که احتمال شناسایی فردی ایجاد نشود.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</w:rPr>
        <w:t xml:space="preserve">5</w:t>
      </w:r>
      <w:r>
        <w:rPr>
          <w:color w:val="000000"/>
          <w:rtl/>
        </w:rPr>
        <w:t xml:space="preserve">. هرگونه تغییر در دامنه تحلیل یا استفاده ثانویه از داده‌ها منوط به اخذ مجوز لازم خواهد بود.</w:t>
      </w:r>
    </w:p>
    <w:p w:rsidR="00B86BBD" w:rsidRDefault="00B86BBD" w:rsidP="00B86BBD">
      <w:pPr>
        <w:bidi/>
        <w:spacing w:after="80"/>
        <w:jc w:val="center"/>
      </w:pPr>
    </w:p>
    <w:p w:rsidR="00B745AB" w:rsidRDefault="00000000" w:rsidP="00230B21">
      <w:pPr>
        <w:bidi/>
        <w:spacing w:before="240" w:after="100"/>
        <w:jc w:val="both"/>
      </w:pPr>
      <w:r>
        <w:rPr>
          <w:b/>
          <w:bCs/>
          <w:color w:val="1F497D"/>
          <w:sz w:val="26"/>
          <w:szCs w:val="26"/>
          <w:rtl/>
        </w:rPr>
        <w:t xml:space="preserve">۲-۱۱- محدودیت‌های پروژه، خطاهای سیستماتیک احتمالی و راه‌های مقابله با آنها</w:t>
      </w: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 </w:t>
      </w:r>
      <w:r>
        <w:rPr>
          <w:color w:val="000000"/>
        </w:rPr>
        <w:t xml:space="preserve">Study Limitations / Systematic Errors and Methods of Control</w:t>
      </w:r>
    </w:p>
    <w:p w:rsidR="00B86BBD" w:rsidRDefault="00B86BBD" w:rsidP="00B86BBD">
      <w:pPr>
        <w:bidi/>
        <w:spacing w:after="80"/>
        <w:jc w:val="center"/>
      </w:pP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با توجه به ماهیت طولی و مبتنی بر پایگاه داده این مطالعه، برخی محدودیت‌ها و خطاهای سیستماتیک احتمالی قابل انتظار است. راهکارهای کنترل و کاهش اثر این محدودیت‌ها در طراحی تحلیل در نظر گرفته شده است.</w:t>
      </w:r>
    </w:p>
    <w:tbl>
      <w:tblPr>
        <w:tblStyle w:val="a8"/>
        <w:bidiVisual/>
        <w:tblW w:w="99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3"/>
        <w:gridCol w:w="2122"/>
        <w:gridCol w:w="3624"/>
        <w:gridCol w:w="3541"/>
      </w:tblGrid>
      <w:tr w:rsidR="00B745AB" w:rsidTr="00230B21">
        <w:tc>
          <w:tcPr>
            <w:tcW w:w="663" w:type="dxa"/>
            <w:vAlign w:val="center"/>
          </w:tcPr>
          <w:p w:rsidR="00B745AB" w:rsidRDefault="00000000" w:rsidP="00230B21">
            <w:pPr>
              <w:bidi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  <w:rtl/>
              </w:rPr>
              <w:t>ردیف</w:t>
            </w:r>
            <w:proofErr w:type="spellEnd"/>
          </w:p>
        </w:tc>
        <w:tc>
          <w:tcPr>
            <w:tcW w:w="2122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>محدودیت / خطای احتمالی</w:t>
            </w:r>
          </w:p>
        </w:tc>
        <w:tc>
          <w:tcPr>
            <w:tcW w:w="3624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>توضیح</w:t>
            </w:r>
          </w:p>
        </w:tc>
        <w:tc>
          <w:tcPr>
            <w:tcW w:w="3541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>راهکار کنترل</w:t>
            </w:r>
          </w:p>
        </w:tc>
      </w:tr>
      <w:tr w:rsidR="00B745AB" w:rsidTr="00230B21">
        <w:tc>
          <w:tcPr>
            <w:tcW w:w="663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2122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  <w:rtl/>
              </w:rPr>
              <w:t xml:space="preserve">داده‌های گمشده</w:t>
            </w:r>
          </w:p>
        </w:tc>
        <w:tc>
          <w:tcPr>
            <w:tcW w:w="3624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  <w:rtl/>
              </w:rPr>
              <w:t xml:space="preserve">ممکن است </w:t>
            </w:r>
            <w:r>
              <w:rPr>
                <w:sz w:val="19"/>
                <w:szCs w:val="19"/>
              </w:rPr>
              <w:t xml:space="preserve">TG</w:t>
            </w:r>
            <w:r>
              <w:rPr>
                <w:sz w:val="19"/>
                <w:szCs w:val="19"/>
                <w:rtl/>
              </w:rPr>
              <w:t xml:space="preserve">، </w:t>
            </w:r>
            <w:r>
              <w:rPr>
                <w:sz w:val="19"/>
                <w:szCs w:val="19"/>
              </w:rPr>
              <w:t xml:space="preserve">FPG</w:t>
            </w:r>
            <w:r>
              <w:rPr>
                <w:sz w:val="19"/>
                <w:szCs w:val="19"/>
                <w:rtl/>
              </w:rPr>
              <w:t xml:space="preserve"> یا </w:t>
            </w:r>
            <w:r>
              <w:rPr>
                <w:sz w:val="19"/>
                <w:szCs w:val="19"/>
              </w:rPr>
              <w:t xml:space="preserve">eGFR</w:t>
            </w:r>
            <w:r>
              <w:rPr>
                <w:sz w:val="19"/>
                <w:szCs w:val="19"/>
                <w:rtl/>
              </w:rPr>
              <w:t xml:space="preserve"> در تمام فازها یا برای همه شرکت‌کنندگان موجود نباشد.</w:t>
            </w:r>
          </w:p>
        </w:tc>
        <w:tc>
          <w:tcPr>
            <w:tcW w:w="3541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  <w:rtl/>
              </w:rPr>
              <w:t xml:space="preserve">بررسی الگوی داده‌های گمشده، تحلیل </w:t>
            </w:r>
            <w:r>
              <w:rPr>
                <w:sz w:val="19"/>
                <w:szCs w:val="19"/>
              </w:rPr>
              <w:t xml:space="preserve">complete-case</w:t>
            </w:r>
            <w:r>
              <w:rPr>
                <w:sz w:val="19"/>
                <w:szCs w:val="19"/>
                <w:rtl/>
              </w:rPr>
              <w:t xml:space="preserve"> در صورت مناسب بودن، و استفاده از </w:t>
            </w:r>
            <w:r>
              <w:rPr>
                <w:sz w:val="19"/>
                <w:szCs w:val="19"/>
              </w:rPr>
              <w:t xml:space="preserve">MICE</w:t>
            </w:r>
            <w:r>
              <w:rPr>
                <w:sz w:val="19"/>
                <w:szCs w:val="19"/>
                <w:rtl/>
              </w:rPr>
              <w:t xml:space="preserve"> در صورت لزوم.</w:t>
            </w:r>
          </w:p>
        </w:tc>
      </w:tr>
      <w:tr w:rsidR="00B745AB" w:rsidTr="00230B21">
        <w:tc>
          <w:tcPr>
            <w:tcW w:w="663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2122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</w:rPr>
              <w:t xml:space="preserve">TyG</w:t>
            </w:r>
            <w:r>
              <w:rPr>
                <w:sz w:val="19"/>
                <w:szCs w:val="19"/>
                <w:rtl/>
              </w:rPr>
              <w:t xml:space="preserve"> به‌عنوان جایگزین ناقص </w:t>
            </w:r>
            <w:r>
              <w:rPr>
                <w:sz w:val="19"/>
                <w:szCs w:val="19"/>
              </w:rPr>
              <w:t xml:space="preserve">HOMA-IR</w:t>
            </w:r>
          </w:p>
        </w:tc>
        <w:tc>
          <w:tcPr>
            <w:tcW w:w="3624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</w:rPr>
              <w:t xml:space="preserve">TyG</w:t>
            </w:r>
            <w:r>
              <w:rPr>
                <w:sz w:val="19"/>
                <w:szCs w:val="19"/>
                <w:rtl/>
              </w:rPr>
              <w:t xml:space="preserve"> با </w:t>
            </w:r>
            <w:r>
              <w:rPr>
                <w:sz w:val="19"/>
                <w:szCs w:val="19"/>
              </w:rPr>
              <w:t xml:space="preserve">HOMA-IR</w:t>
            </w:r>
            <w:r>
              <w:rPr>
                <w:sz w:val="19"/>
                <w:szCs w:val="19"/>
                <w:rtl/>
              </w:rPr>
              <w:t xml:space="preserve"> همبستگی قوی اما نه کامل دارد و ممکن است برخی موارد مقاومت انسولینی را نادرست طبقه‌بندی کند.</w:t>
            </w:r>
          </w:p>
        </w:tc>
        <w:tc>
          <w:tcPr>
            <w:tcW w:w="3541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  <w:rtl/>
              </w:rPr>
              <w:t xml:space="preserve">تفسیر </w:t>
            </w:r>
            <w:r>
              <w:rPr>
                <w:sz w:val="19"/>
                <w:szCs w:val="19"/>
              </w:rPr>
              <w:t xml:space="preserve">TyG</w:t>
            </w:r>
            <w:r>
              <w:rPr>
                <w:sz w:val="19"/>
                <w:szCs w:val="19"/>
                <w:rtl/>
              </w:rPr>
              <w:t xml:space="preserve"> به‌عنوان شاخص تقریبی مقاومت انسولینی؛ گزارش محدودیت در تفسیر نتایج؛ در صورت وجود داده کافی انسولین، تحلیل حساسیت با </w:t>
            </w:r>
            <w:r>
              <w:rPr>
                <w:sz w:val="19"/>
                <w:szCs w:val="19"/>
              </w:rPr>
              <w:t xml:space="preserve">HOMA-IR</w:t>
            </w:r>
            <w:r>
              <w:rPr>
                <w:sz w:val="19"/>
                <w:szCs w:val="19"/>
                <w:rtl/>
              </w:rPr>
              <w:t xml:space="preserve">.</w:t>
            </w:r>
          </w:p>
        </w:tc>
      </w:tr>
      <w:tr w:rsidR="00B745AB" w:rsidTr="00230B21">
        <w:tc>
          <w:tcPr>
            <w:tcW w:w="663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2122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  <w:rtl/>
              </w:rPr>
              <w:t xml:space="preserve">ماهیت نقطه‌ای اندازه‌گیری </w:t>
            </w:r>
            <w:r>
              <w:rPr>
                <w:sz w:val="19"/>
                <w:szCs w:val="19"/>
              </w:rPr>
              <w:t xml:space="preserve">TyG</w:t>
            </w:r>
          </w:p>
        </w:tc>
        <w:tc>
          <w:tcPr>
            <w:tcW w:w="3624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</w:rPr>
              <w:t xml:space="preserve">TG</w:t>
            </w:r>
            <w:r>
              <w:rPr>
                <w:sz w:val="19"/>
                <w:szCs w:val="19"/>
                <w:rtl/>
              </w:rPr>
              <w:t xml:space="preserve"> و </w:t>
            </w:r>
            <w:r>
              <w:rPr>
                <w:sz w:val="19"/>
                <w:szCs w:val="19"/>
              </w:rPr>
              <w:t xml:space="preserve">FPG</w:t>
            </w:r>
            <w:r>
              <w:rPr>
                <w:sz w:val="19"/>
                <w:szCs w:val="19"/>
                <w:rtl/>
              </w:rPr>
              <w:t xml:space="preserve"> در یک ویزیت اندازه‌گیری می‌شوند و ممکن است تحت تأثیر عوامل زودگذر (رژیم غذایی، عدم ناشتایی کامل) باشند.</w:t>
            </w:r>
          </w:p>
        </w:tc>
        <w:tc>
          <w:tcPr>
            <w:tcW w:w="3541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  <w:rtl/>
              </w:rPr>
              <w:t xml:space="preserve">استفاده از پروتکل استاندارد ناشتایی </w:t>
            </w:r>
            <w:r>
              <w:rPr>
                <w:sz w:val="19"/>
                <w:szCs w:val="19"/>
              </w:rPr>
              <w:t xml:space="preserve">TLGS</w:t>
            </w:r>
            <w:r>
              <w:rPr>
                <w:sz w:val="19"/>
                <w:szCs w:val="19"/>
                <w:rtl/>
              </w:rPr>
              <w:t xml:space="preserve">؛ حذف مقادیر پرت یا نامعتبر </w:t>
            </w:r>
            <w:r>
              <w:rPr>
                <w:sz w:val="19"/>
                <w:szCs w:val="19"/>
              </w:rPr>
              <w:t xml:space="preserve">TG/FPG</w:t>
            </w:r>
            <w:r>
              <w:rPr>
                <w:sz w:val="19"/>
                <w:szCs w:val="19"/>
                <w:rtl/>
              </w:rPr>
              <w:t xml:space="preserve">.</w:t>
            </w:r>
          </w:p>
        </w:tc>
      </w:tr>
      <w:tr w:rsidR="00B745AB" w:rsidTr="00230B21">
        <w:tc>
          <w:tcPr>
            <w:tcW w:w="663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2122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  <w:rtl/>
              </w:rPr>
              <w:t xml:space="preserve">آستانه‌های کودکان </w:t>
            </w:r>
            <w:r>
              <w:rPr>
                <w:sz w:val="19"/>
                <w:szCs w:val="19"/>
              </w:rPr>
              <w:t xml:space="preserve">TyG</w:t>
            </w:r>
            <w:r>
              <w:rPr>
                <w:sz w:val="19"/>
                <w:szCs w:val="19"/>
                <w:rtl/>
              </w:rPr>
              <w:t xml:space="preserve"> طراحی‌شده برای سندرم متابولیک</w:t>
            </w:r>
          </w:p>
        </w:tc>
        <w:tc>
          <w:tcPr>
            <w:tcW w:w="3624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  <w:rtl/>
              </w:rPr>
              <w:t xml:space="preserve">آستانه </w:t>
            </w:r>
            <w:r>
              <w:rPr>
                <w:sz w:val="19"/>
                <w:szCs w:val="19"/>
              </w:rPr>
              <w:t xml:space="preserve">CASPIAN-V</w:t>
            </w:r>
            <w:r>
              <w:rPr>
                <w:sz w:val="19"/>
                <w:szCs w:val="19"/>
                <w:rtl/>
              </w:rPr>
              <w:t xml:space="preserve"> برای غربالگری سندرم متابولیک تعیین شده، نه مستقیماً مقاومت انسولینی.</w:t>
            </w:r>
          </w:p>
        </w:tc>
        <w:tc>
          <w:tcPr>
            <w:tcW w:w="3541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  <w:rtl/>
              </w:rPr>
              <w:t xml:space="preserve">تحلیل اصلی بر پایه </w:t>
            </w:r>
            <w:r>
              <w:rPr>
                <w:sz w:val="19"/>
                <w:szCs w:val="19"/>
              </w:rPr>
              <w:t xml:space="preserve">TyG</w:t>
            </w:r>
            <w:r>
              <w:rPr>
                <w:sz w:val="19"/>
                <w:szCs w:val="19"/>
                <w:rtl/>
              </w:rPr>
              <w:t xml:space="preserve"> پیوسته و کوارتیل نمونه؛ آستانه </w:t>
            </w:r>
            <w:r>
              <w:rPr>
                <w:sz w:val="19"/>
                <w:szCs w:val="19"/>
              </w:rPr>
              <w:t xml:space="preserve">CASPIAN-V</w:t>
            </w:r>
            <w:r>
              <w:rPr>
                <w:sz w:val="19"/>
                <w:szCs w:val="19"/>
                <w:rtl/>
              </w:rPr>
              <w:t xml:space="preserve"> فقط در تحلیل حساسیت.</w:t>
            </w:r>
          </w:p>
        </w:tc>
      </w:tr>
      <w:tr w:rsidR="00B745AB" w:rsidTr="00230B21">
        <w:tc>
          <w:tcPr>
            <w:tcW w:w="663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2122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  <w:rtl/>
              </w:rPr>
              <w:t xml:space="preserve">تغییر </w:t>
            </w:r>
            <w:r>
              <w:rPr>
                <w:sz w:val="19"/>
                <w:szCs w:val="19"/>
              </w:rPr>
              <w:t xml:space="preserve">TyG</w:t>
            </w:r>
            <w:r>
              <w:rPr>
                <w:sz w:val="19"/>
                <w:szCs w:val="19"/>
                <w:rtl/>
              </w:rPr>
              <w:t xml:space="preserve"> در طول زمان</w:t>
            </w:r>
          </w:p>
        </w:tc>
        <w:tc>
          <w:tcPr>
            <w:tcW w:w="3624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  <w:rtl/>
              </w:rPr>
              <w:t xml:space="preserve">سطح </w:t>
            </w:r>
            <w:r>
              <w:rPr>
                <w:sz w:val="19"/>
                <w:szCs w:val="19"/>
              </w:rPr>
              <w:t xml:space="preserve">TyG</w:t>
            </w:r>
            <w:r>
              <w:rPr>
                <w:sz w:val="19"/>
                <w:szCs w:val="19"/>
                <w:rtl/>
              </w:rPr>
              <w:t xml:space="preserve"> افراد ممکن است از کودکی تا بزرگسالی تغییر کند.</w:t>
            </w:r>
          </w:p>
        </w:tc>
        <w:tc>
          <w:tcPr>
            <w:tcW w:w="3541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  <w:rtl/>
              </w:rPr>
              <w:t xml:space="preserve">تعریف مواجهه بر پایه </w:t>
            </w:r>
            <w:r>
              <w:rPr>
                <w:sz w:val="19"/>
                <w:szCs w:val="19"/>
              </w:rPr>
              <w:t xml:space="preserve">TyG</w:t>
            </w:r>
            <w:r>
              <w:rPr>
                <w:sz w:val="19"/>
                <w:szCs w:val="19"/>
                <w:rtl/>
              </w:rPr>
              <w:t xml:space="preserve"> دوران کودکی/نوجوانی؛ تحلیل حساسیت </w:t>
            </w:r>
            <w:r>
              <w:rPr>
                <w:sz w:val="19"/>
                <w:szCs w:val="19"/>
              </w:rPr>
              <w:t xml:space="preserve">time-varying</w:t>
            </w:r>
            <w:r>
              <w:rPr>
                <w:sz w:val="19"/>
                <w:szCs w:val="19"/>
                <w:rtl/>
              </w:rPr>
              <w:t xml:space="preserve"> در صورت کفایت داده.</w:t>
            </w:r>
          </w:p>
        </w:tc>
      </w:tr>
      <w:tr w:rsidR="00B745AB" w:rsidTr="00230B21">
        <w:tc>
          <w:tcPr>
            <w:tcW w:w="663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2122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</w:rPr>
              <w:t xml:space="preserve">Residual Confounding</w:t>
            </w:r>
          </w:p>
        </w:tc>
        <w:tc>
          <w:tcPr>
            <w:tcW w:w="3624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  <w:rtl/>
              </w:rPr>
              <w:t xml:space="preserve">عوامل اندازه‌گیری‌نشده مانند ژنتیک، تغذیه یا وضعیت اجتماعی-اقتصادی ممکن است اثرگذار باشند.</w:t>
            </w:r>
          </w:p>
        </w:tc>
        <w:tc>
          <w:tcPr>
            <w:tcW w:w="3541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  <w:rtl/>
              </w:rPr>
              <w:t xml:space="preserve">تعدیل مدل‌ها برای مخدوش‌کننده‌های اصلی شامل سن، جنس، </w:t>
            </w:r>
            <w:r>
              <w:rPr>
                <w:sz w:val="19"/>
                <w:szCs w:val="19"/>
              </w:rPr>
              <w:t xml:space="preserve">BMI-for-age</w:t>
            </w:r>
            <w:r>
              <w:rPr>
                <w:sz w:val="19"/>
                <w:szCs w:val="19"/>
                <w:rtl/>
              </w:rPr>
              <w:t xml:space="preserve">، فعالیت بدنی، فشار خون و </w:t>
            </w:r>
            <w:r>
              <w:rPr>
                <w:sz w:val="19"/>
                <w:szCs w:val="19"/>
              </w:rPr>
              <w:t xml:space="preserve">eGFR</w:t>
            </w:r>
            <w:r>
              <w:rPr>
                <w:sz w:val="19"/>
                <w:szCs w:val="19"/>
                <w:rtl/>
              </w:rPr>
              <w:t xml:space="preserve"> پایه.</w:t>
            </w:r>
          </w:p>
        </w:tc>
      </w:tr>
      <w:tr w:rsidR="00B745AB" w:rsidTr="00230B21">
        <w:tc>
          <w:tcPr>
            <w:tcW w:w="663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2122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</w:rPr>
              <w:t xml:space="preserve">Loss to Follow-up</w:t>
            </w:r>
          </w:p>
        </w:tc>
        <w:tc>
          <w:tcPr>
            <w:tcW w:w="3624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  <w:rtl/>
              </w:rPr>
              <w:t xml:space="preserve">در مطالعات طولی، ریزش نمونه طی زمان محتمل است.</w:t>
            </w:r>
          </w:p>
        </w:tc>
        <w:tc>
          <w:tcPr>
            <w:tcW w:w="3541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  <w:rtl/>
              </w:rPr>
              <w:t xml:space="preserve">مقایسه ویژگی‌های افراد باقی‌مانده و خارج‌شده از پیگیری؛ استفاده از مدل‌های طولی مقاوم نسبت به داده‌های نامتوازن.</w:t>
            </w:r>
          </w:p>
        </w:tc>
      </w:tr>
      <w:tr w:rsidR="00B745AB" w:rsidTr="00230B21">
        <w:tc>
          <w:tcPr>
            <w:tcW w:w="663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2122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  <w:rtl/>
              </w:rPr>
              <w:t xml:space="preserve">محدودیت معادله </w:t>
            </w:r>
            <w:r>
              <w:rPr>
                <w:sz w:val="19"/>
                <w:szCs w:val="19"/>
              </w:rPr>
              <w:t xml:space="preserve">eGFR</w:t>
            </w:r>
            <w:r>
              <w:rPr>
                <w:sz w:val="19"/>
                <w:szCs w:val="19"/>
                <w:rtl/>
              </w:rPr>
              <w:t xml:space="preserve"> در گذار سنی</w:t>
            </w:r>
          </w:p>
        </w:tc>
        <w:tc>
          <w:tcPr>
            <w:tcW w:w="3624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  <w:rtl/>
              </w:rPr>
              <w:t xml:space="preserve">معادله مناسب </w:t>
            </w:r>
            <w:r>
              <w:rPr>
                <w:sz w:val="19"/>
                <w:szCs w:val="19"/>
              </w:rPr>
              <w:t xml:space="preserve">eGFR</w:t>
            </w:r>
            <w:r>
              <w:rPr>
                <w:sz w:val="19"/>
                <w:szCs w:val="19"/>
                <w:rtl/>
              </w:rPr>
              <w:t xml:space="preserve"> ممکن است بر اساس سن و فاز مطالعه متفاوت باشد؛ دامنه سنی وسیع‌تر (شامل کودکی) این مسئله را حادتر می‌کند.</w:t>
            </w:r>
          </w:p>
        </w:tc>
        <w:tc>
          <w:tcPr>
            <w:tcW w:w="3541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  <w:rtl/>
              </w:rPr>
              <w:t xml:space="preserve">استفاده از معادله واحد (</w:t>
            </w:r>
            <w:r>
              <w:rPr>
                <w:sz w:val="19"/>
                <w:szCs w:val="19"/>
              </w:rPr>
              <w:t xml:space="preserve">FAS</w:t>
            </w:r>
            <w:r>
              <w:rPr>
                <w:sz w:val="19"/>
                <w:szCs w:val="19"/>
                <w:rtl/>
              </w:rPr>
              <w:t xml:space="preserve">) برای کل طیف سنی؛ تحلیل حساسیت با </w:t>
            </w:r>
            <w:r>
              <w:rPr>
                <w:sz w:val="19"/>
                <w:szCs w:val="19"/>
              </w:rPr>
              <w:t xml:space="preserve">Schwartz/CKD-EPI</w:t>
            </w:r>
            <w:r>
              <w:rPr>
                <w:sz w:val="19"/>
                <w:szCs w:val="19"/>
                <w:rtl/>
              </w:rPr>
              <w:t xml:space="preserve">.</w:t>
            </w:r>
          </w:p>
        </w:tc>
      </w:tr>
      <w:tr w:rsidR="00B745AB" w:rsidTr="00230B21">
        <w:tc>
          <w:tcPr>
            <w:tcW w:w="663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w="2122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  <w:rtl/>
              </w:rPr>
              <w:t xml:space="preserve">اثر رشد و بلوغ بر </w:t>
            </w:r>
            <w:r>
              <w:rPr>
                <w:sz w:val="19"/>
                <w:szCs w:val="19"/>
              </w:rPr>
              <w:t xml:space="preserve">TyG</w:t>
            </w:r>
            <w:r>
              <w:rPr>
                <w:sz w:val="19"/>
                <w:szCs w:val="19"/>
                <w:rtl/>
              </w:rPr>
              <w:t xml:space="preserve"> و </w:t>
            </w:r>
            <w:r>
              <w:rPr>
                <w:sz w:val="19"/>
                <w:szCs w:val="19"/>
              </w:rPr>
              <w:t xml:space="preserve">eGFR</w:t>
            </w:r>
          </w:p>
        </w:tc>
        <w:tc>
          <w:tcPr>
            <w:tcW w:w="3624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  <w:rtl/>
              </w:rPr>
              <w:t xml:space="preserve">در کودکی/نوجوانی، رشد و بلوغ می‌توانند هم بر متابولیسم گلوکز/چربی و هم بر </w:t>
            </w:r>
            <w:r>
              <w:rPr>
                <w:sz w:val="19"/>
                <w:szCs w:val="19"/>
              </w:rPr>
              <w:t xml:space="preserve">eGFR</w:t>
            </w:r>
            <w:r>
              <w:rPr>
                <w:sz w:val="19"/>
                <w:szCs w:val="19"/>
                <w:rtl/>
              </w:rPr>
              <w:t xml:space="preserve"> مبتنی بر کراتینین اثر بگذارند.</w:t>
            </w:r>
          </w:p>
        </w:tc>
        <w:tc>
          <w:tcPr>
            <w:tcW w:w="3541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sz w:val="19"/>
                <w:szCs w:val="19"/>
                <w:rtl/>
              </w:rPr>
              <w:t xml:space="preserve">تعدیل برای سن و جنس؛ تفسیر محتاطانه نتایج در زیرگروه‌های سنی کوچک‌تر؛ آنالیز حساسیت بر اساس مرحله رشد در صورت وجود داده.</w:t>
            </w:r>
          </w:p>
        </w:tc>
      </w:tr>
      <w:tr w:rsidR="00B745AB" w:rsidTr="00230B21">
        <w:tc>
          <w:tcPr>
            <w:tcW w:w="663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/>
              <w:t xml:space="preserve">10</w:t>
            </w:r>
          </w:p>
        </w:tc>
        <w:tc>
          <w:tcPr>
            <w:tcW w:w="2122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rtl/>
              </w:rPr>
              <w:t xml:space="preserve">تعمیم‌پذیری</w:t>
            </w:r>
          </w:p>
        </w:tc>
        <w:tc>
          <w:tcPr>
            <w:tcW w:w="3624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/>
              <w:t xml:space="preserve">TLGS</w:t>
            </w:r>
            <w:r>
              <w:rPr>
                <w:rtl/>
              </w:rPr>
              <w:t xml:space="preserve"> نماینده جمعیت شهری تهران است و ممکن است قابل تعمیم کامل به تمام ایران یا سایر کشورها نباشد.</w:t>
            </w:r>
          </w:p>
        </w:tc>
        <w:tc>
          <w:tcPr>
            <w:tcW w:w="3541" w:type="dxa"/>
            <w:vAlign w:val="center"/>
          </w:tcPr>
          <w:p w:rsidR="00B745AB" w:rsidRDefault="00000000" w:rsidP="00230B21">
            <w:pPr>
              <w:bidi/>
              <w:jc w:val="center"/>
            </w:pPr>
            <w:r>
              <w:rPr>
                <w:rtl/>
              </w:rPr>
              <w:t xml:space="preserve">تفسیر نتایج در چارچوب جمعیت شهری ایرانی و مقایسه با مطالعات مشابه بین‌المللی.</w:t>
            </w:r>
          </w:p>
        </w:tc>
      </w:tr>
    </w:tbl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محدوده سنی نهایی، توزیع واقعی </w:t>
      </w:r>
      <w:r>
        <w:rPr>
          <w:color w:val="000000"/>
        </w:rPr>
        <w:t xml:space="preserve">TyG</w:t>
      </w:r>
      <w:r>
        <w:rPr>
          <w:color w:val="000000"/>
          <w:rtl/>
        </w:rPr>
        <w:t xml:space="preserve">، معادله </w:t>
      </w:r>
      <w:r>
        <w:rPr>
          <w:color w:val="000000"/>
        </w:rPr>
        <w:t xml:space="preserve">eGFR</w:t>
      </w:r>
      <w:r>
        <w:rPr>
          <w:color w:val="000000"/>
          <w:rtl/>
        </w:rPr>
        <w:t xml:space="preserve">، هماهنگ‌سازی کراتینین بین فازها و نحوه مدیریت داده‌های گمشده، پس از استخراج داده‌ها و بر اساس متغیرهای موجود در پایگاه داده </w:t>
      </w:r>
      <w:r>
        <w:rPr>
          <w:color w:val="000000"/>
        </w:rPr>
        <w:t xml:space="preserve">TLGS</w:t>
      </w:r>
      <w:r>
        <w:rPr>
          <w:color w:val="000000"/>
          <w:rtl/>
        </w:rPr>
        <w:t xml:space="preserve"> تکمیل خواهد شد.</w:t>
      </w:r>
    </w:p>
    <w:p w:rsidR="00B86BBD" w:rsidRDefault="00B86BBD" w:rsidP="00B86BBD">
      <w:pPr>
        <w:bidi/>
        <w:spacing w:after="80"/>
        <w:jc w:val="center"/>
      </w:pPr>
    </w:p>
    <w:p w:rsidR="00B745AB" w:rsidRDefault="00000000" w:rsidP="00230B21">
      <w:pPr>
        <w:bidi/>
        <w:spacing w:after="100"/>
        <w:ind w:firstLine="283"/>
        <w:jc w:val="both"/>
      </w:pPr>
      <w:r>
        <w:rPr>
          <w:color w:val="000000"/>
          <w:rtl/>
        </w:rPr>
        <w:t xml:space="preserve">منابع </w:t>
      </w:r>
      <w:r>
        <w:rPr>
          <w:color w:val="000000"/>
        </w:rPr>
        <w:t xml:space="preserve">References</w:t>
      </w:r>
      <w:r>
        <w:rPr>
          <w:color w:val="000000"/>
          <w:rtl/>
        </w:rPr>
        <w:t xml:space="preserve"> — </w:t>
      </w:r>
      <w:r>
        <w:rPr>
          <w:color w:val="000000"/>
        </w:rPr>
        <w:t xml:space="preserve">Vancouver Style</w:t>
      </w:r>
      <w:r>
        <w:rPr>
          <w:color w:val="000000"/>
          <w:rtl/>
        </w:rPr>
        <w:t xml:space="preserve">:</w:t>
      </w:r>
    </w:p>
    <w:p w:rsidR="00B745AB" w:rsidRDefault="00000000" w:rsidP="00230B21">
      <w:pPr>
        <w:spacing w:after="80"/>
        <w:jc w:val="both"/>
      </w:pPr>
      <w:r>
        <w:rPr>
          <w:color w:val="000000"/>
          <w:sz w:val="20"/>
          <w:szCs w:val="20"/>
        </w:rPr>
        <w:t xml:space="preserve">1. Guerrero-Romero F, Simental-Mendia LE, Gonzalez-Ortiz M, Martinez-Abundis E, Ramos-Zavala MG, Hernandez-Gonzalez SO, et al. The product of triglycerides and glucose, a simple measure of insulin sensitivity. Comparison with the euglycemic-hyperinsulinemic clamp. J Clin Endocrinol Metab. 2010;95(7):3347-3351.</w:t>
      </w:r>
    </w:p>
    <w:p w:rsidR="00B745AB" w:rsidRDefault="00000000" w:rsidP="00230B21">
      <w:pPr>
        <w:spacing w:after="80"/>
        <w:jc w:val="both"/>
      </w:pPr>
      <w:r>
        <w:rPr>
          <w:color w:val="000000"/>
          <w:sz w:val="20"/>
          <w:szCs w:val="20"/>
        </w:rPr>
        <w:t xml:space="preserve">2. Angoorani P, Heshmat R, Ejtahed HS, Motlagh ME, Ziaodini H, Taheri M, et al. Validity of triglyceride-glucose index as an indicator for metabolic syndrome in children and adolescents: the CASPIAN-V study. Eat Weight Disord. 2018;23(6):877-883.</w:t>
      </w:r>
    </w:p>
    <w:p w:rsidR="00B745AB" w:rsidRDefault="00000000" w:rsidP="00230B21">
      <w:pPr>
        <w:spacing w:after="80"/>
        <w:jc w:val="both"/>
      </w:pPr>
      <w:r>
        <w:rPr>
          <w:color w:val="000000"/>
          <w:sz w:val="20"/>
          <w:szCs w:val="20"/>
        </w:rPr>
        <w:t xml:space="preserve">3. Amouzegar A, Honarvar M, Masoumi S, Tohidi M, Mehran L, Azizi F. Sex-specific trajectories of insulin resistance markers and reduced renal function during 18 years of follow-up: TLGS. J Clin Endocrinol Metab. 2023;108(6):e230-e239.</w:t>
      </w:r>
    </w:p>
    <w:p w:rsidR="00B745AB" w:rsidRDefault="00000000" w:rsidP="00230B21">
      <w:pPr>
        <w:spacing w:after="80"/>
        <w:jc w:val="both"/>
      </w:pPr>
      <w:r>
        <w:rPr>
          <w:color w:val="000000"/>
          <w:sz w:val="20"/>
          <w:szCs w:val="20"/>
        </w:rPr>
        <w:t xml:space="preserve">4. Song K, Lee E, Lee HS, Youn YH, Baik SJ, Shin HJ, et al. Identification of pediatric MASLD using insulin resistance indices. JHEP Rep. 2025;7(7):101419.</w:t>
      </w:r>
    </w:p>
    <w:p w:rsidR="00B745AB" w:rsidRDefault="00000000" w:rsidP="00230B21">
      <w:pPr>
        <w:spacing w:after="80"/>
        <w:jc w:val="both"/>
      </w:pPr>
      <w:r>
        <w:rPr>
          <w:color w:val="000000"/>
          <w:sz w:val="20"/>
          <w:szCs w:val="20"/>
        </w:rPr>
        <w:t xml:space="preserve">5. Zou Y, Dai Y, Li Z, Lin B, Chen H, Zhuang Z, et al. Modified triglyceride-glucose indices as novel predictors of metabolic dysfunction-associated fatty liver disease in US adolescents: a nationally representative study from NHANES 2017-2020. BMC Gastroenterol. 2025;25(1):325.</w:t>
      </w:r>
    </w:p>
    <w:p w:rsidR="00B745AB" w:rsidRDefault="00000000" w:rsidP="00230B21">
      <w:pPr>
        <w:spacing w:after="80"/>
        <w:jc w:val="both"/>
      </w:pPr>
      <w:r>
        <w:rPr>
          <w:color w:val="000000"/>
          <w:sz w:val="20"/>
          <w:szCs w:val="20"/>
        </w:rPr>
        <w:t xml:space="preserve">6. Okamura T, Hashimoto Y, Hamaguchi M, Obora A, Kojima T, Fukui M. Triglyceride-glucose index is a predictor of incident chronic kidney disease: a population-based longitudinal study. Clin Exp Nephrol. 2019;23(7):948-955.</w:t>
      </w:r>
    </w:p>
    <w:p w:rsidR="00B745AB" w:rsidRDefault="00000000" w:rsidP="00230B21">
      <w:pPr>
        <w:spacing w:after="80"/>
        <w:jc w:val="both"/>
      </w:pPr>
      <w:r>
        <w:rPr>
          <w:color w:val="000000"/>
          <w:sz w:val="20"/>
          <w:szCs w:val="20"/>
        </w:rPr>
        <w:t xml:space="preserve">7. de Onis M, Onyango AW, Borghi E, Siyam A, Nishida C, Siekmann J. Development of a WHO growth reference for school-aged children and adolescents. Bull World Health Organ. 2007;85(9):660-667.</w:t>
      </w:r>
    </w:p>
    <w:p w:rsidR="00B745AB" w:rsidRDefault="00000000" w:rsidP="00230B21">
      <w:pPr>
        <w:spacing w:after="80"/>
        <w:jc w:val="both"/>
      </w:pPr>
      <w:r>
        <w:rPr>
          <w:color w:val="000000"/>
          <w:sz w:val="20"/>
          <w:szCs w:val="20"/>
        </w:rPr>
        <w:t xml:space="preserve">8. Rifkin DE, Shlipak MG, Katz R, Fried LF, Siscovick D, Chonchol M, et al. Rapid kidney function decline and mortality risk in older adults. Arch Intern Med. 2008;168(20):2212-2218.</w:t>
      </w:r>
    </w:p>
    <w:p w:rsidR="00B745AB" w:rsidRDefault="00000000" w:rsidP="00230B21">
      <w:pPr>
        <w:spacing w:after="80"/>
        <w:jc w:val="both"/>
      </w:pPr>
      <w:r>
        <w:rPr>
          <w:color w:val="000000"/>
          <w:sz w:val="20"/>
          <w:szCs w:val="20"/>
        </w:rPr>
        <w:t xml:space="preserve">9. Coresh J, Turin TC, Matsushita K, Sang Y, Ballew SH, Appel LJ, et al. Decline in estimated glomerular filtration rate and subsequent risk of end-stage renal disease and mortality. JAMA. 2014;311(24):2518-2531.</w:t>
      </w:r>
    </w:p>
    <w:p w:rsidR="00B745AB" w:rsidRDefault="00000000" w:rsidP="00230B21">
      <w:pPr>
        <w:spacing w:after="80"/>
        <w:jc w:val="both"/>
      </w:pPr>
      <w:r>
        <w:rPr>
          <w:color w:val="000000"/>
          <w:sz w:val="20"/>
          <w:szCs w:val="20"/>
        </w:rPr>
        <w:t xml:space="preserve">10. Levey AS, Coresh J. Chronic kidney disease. Lancet. 2012;379(9811):165-180.</w:t>
      </w:r>
    </w:p>
    <w:p w:rsidR="00B745AB" w:rsidRDefault="00000000" w:rsidP="00230B21">
      <w:pPr>
        <w:spacing w:after="80"/>
        <w:jc w:val="both"/>
      </w:pPr>
      <w:r>
        <w:rPr>
          <w:color w:val="000000"/>
          <w:sz w:val="20"/>
          <w:szCs w:val="20"/>
        </w:rPr>
        <w:t xml:space="preserve">11. KDIGO CKD Work Group. KDIGO 2012 clinical practice guideline for the evaluation and management of chronic kidney disease. Kidney Int Suppl. 2013;3(1):1-150.</w:t>
      </w:r>
    </w:p>
    <w:p w:rsidR="00B745AB" w:rsidRDefault="00000000" w:rsidP="00230B21">
      <w:pPr>
        <w:spacing w:after="80"/>
        <w:jc w:val="both"/>
      </w:pPr>
      <w:r>
        <w:rPr>
          <w:color w:val="000000"/>
          <w:sz w:val="20"/>
          <w:szCs w:val="20"/>
        </w:rPr>
        <w:t xml:space="preserve">12. Webster AC, Nagler EV, Morton RL, Masson P. Chronic kidney disease. Lancet. 2017;389(10075):1238-1252.</w:t>
      </w:r>
    </w:p>
    <w:p w:rsidR="00B745AB" w:rsidRDefault="00000000" w:rsidP="00230B21">
      <w:pPr>
        <w:spacing w:after="80"/>
        <w:jc w:val="both"/>
      </w:pPr>
      <w:r>
        <w:rPr>
          <w:color w:val="000000"/>
          <w:sz w:val="20"/>
          <w:szCs w:val="20"/>
        </w:rPr>
        <w:t xml:space="preserve">13. GBD Chronic Kidney Disease Collaboration. Global, regional, and national burden of chronic kidney disease, 1990-2017. Lancet. 2020;395(10225):709-733.</w:t>
      </w:r>
    </w:p>
    <w:p w:rsidR="00B745AB" w:rsidRDefault="00000000" w:rsidP="00230B21">
      <w:pPr>
        <w:spacing w:after="80"/>
        <w:jc w:val="both"/>
      </w:pPr>
      <w:r>
        <w:rPr>
          <w:color w:val="000000"/>
          <w:sz w:val="20"/>
          <w:szCs w:val="20"/>
        </w:rPr>
        <w:t xml:space="preserve">14. Matsushita K, van der Velde M, Astor BC, et al. Association of estimated glomerular filtration rate and albuminuria with all-cause and cardiovascular mortality. Lancet. 2010;375(9731):2073-2081.</w:t>
      </w:r>
    </w:p>
    <w:p w:rsidR="00B745AB" w:rsidRDefault="00000000" w:rsidP="00230B21">
      <w:pPr>
        <w:spacing w:after="80"/>
        <w:jc w:val="both"/>
      </w:pPr>
      <w:r>
        <w:rPr>
          <w:color w:val="000000"/>
          <w:sz w:val="20"/>
          <w:szCs w:val="20"/>
        </w:rPr>
        <w:t xml:space="preserve">15. Hall JE, do Carmo JM, da Silva AA, Wang Z, Hall ME. Obesity-induced hypertension and kidney disease. Hypertension. 2015;65(5):909-916.</w:t>
      </w:r>
    </w:p>
    <w:p w:rsidR="00B745AB" w:rsidRDefault="00000000" w:rsidP="00230B21">
      <w:pPr>
        <w:spacing w:after="80"/>
        <w:jc w:val="both"/>
      </w:pPr>
      <w:r>
        <w:rPr>
          <w:color w:val="000000"/>
          <w:sz w:val="20"/>
          <w:szCs w:val="20"/>
        </w:rPr>
        <w:t xml:space="preserve">16. Kovesdy CP, Furth SL, Zoccali C. Obesity and kidney disease: hidden consequences of the epidemic. Nat Rev Nephrol. 2017;13(3):291-307.</w:t>
      </w:r>
    </w:p>
    <w:p w:rsidR="00B745AB" w:rsidRDefault="00000000" w:rsidP="00230B21">
      <w:pPr>
        <w:spacing w:after="80"/>
        <w:jc w:val="both"/>
      </w:pPr>
      <w:r>
        <w:rPr>
          <w:color w:val="000000"/>
          <w:sz w:val="20"/>
          <w:szCs w:val="20"/>
        </w:rPr>
        <w:t xml:space="preserve">17. Weiss R, Dziura J, Burgert TS, et al. Obesity and the metabolic syndrome in children and adolescents. N Engl J Med. 2004;350(23):2362-2374.</w:t>
      </w:r>
    </w:p>
    <w:p w:rsidR="00B745AB" w:rsidRDefault="00000000" w:rsidP="00230B21">
      <w:pPr>
        <w:spacing w:after="80"/>
        <w:jc w:val="both"/>
      </w:pPr>
      <w:r>
        <w:rPr>
          <w:color w:val="000000"/>
          <w:sz w:val="20"/>
          <w:szCs w:val="20"/>
        </w:rPr>
        <w:t xml:space="preserve">18. DeBoer MD. Assessing and managing the metabolic syndrome in children and adolescents. Nutrients. 2019;11(8):1788.</w:t>
      </w:r>
    </w:p>
    <w:p w:rsidR="00B745AB" w:rsidRDefault="00000000" w:rsidP="00230B21">
      <w:pPr>
        <w:spacing w:after="80"/>
        <w:jc w:val="both"/>
      </w:pPr>
      <w:r>
        <w:rPr>
          <w:color w:val="000000"/>
          <w:sz w:val="20"/>
          <w:szCs w:val="20"/>
        </w:rPr>
        <w:t xml:space="preserve">19. World Health Organization. Adolescent health. Geneva: World Health Organization; 2023.</w:t>
      </w:r>
    </w:p>
    <w:p w:rsidR="00B745AB" w:rsidRDefault="00000000" w:rsidP="00230B21">
      <w:pPr>
        <w:spacing w:after="80"/>
        <w:jc w:val="both"/>
      </w:pPr>
      <w:r>
        <w:rPr>
          <w:color w:val="000000"/>
          <w:sz w:val="20"/>
          <w:szCs w:val="20"/>
        </w:rPr>
        <w:t xml:space="preserve">20. Azizi F, Rahmani M, Emami H, et al. Tehran Lipid and Glucose Study: rationale and design. CVD Prev. 2000;3(3):242-247.</w:t>
      </w:r>
    </w:p>
    <w:p w:rsidR="00B745AB" w:rsidRDefault="00000000" w:rsidP="00230B21">
      <w:pPr>
        <w:spacing w:after="80"/>
        <w:jc w:val="both"/>
      </w:pPr>
      <w:r>
        <w:rPr>
          <w:color w:val="000000"/>
          <w:sz w:val="20"/>
          <w:szCs w:val="20"/>
        </w:rPr>
        <w:t xml:space="preserve">21. Tohidi M, Hasheminia M, Mohebi R, et al. Incidence of chronic kidney disease and its risk factors: results of the Tehran Lipid and Glucose Study. PLoS One. 2012;7(10):e47081.</w:t>
      </w:r>
    </w:p>
    <w:p w:rsidR="00B86BBD" w:rsidRDefault="00B86BBD" w:rsidP="00B86BBD">
      <w:pPr>
        <w:bidi/>
        <w:spacing w:after="80"/>
        <w:jc w:val="center"/>
      </w:pPr>
    </w:p>
    <w:p w:rsidR="00B745AB" w:rsidRDefault="00000000">
      <w:pPr>
        <w:bidi/>
        <w:spacing w:after="160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rtl/>
        </w:rPr>
        <w:t>بدین‌وسیله صحت مطالب مندرج فوق را تأیید می‌نمایم.</w:t>
      </w:r>
    </w:p>
    <w:p w:rsidR="00B745AB" w:rsidRDefault="00DA6BC3" w:rsidP="00482041">
      <w:pPr>
        <w:bidi/>
        <w:spacing w:after="160"/>
        <w:jc w:val="both"/>
      </w:pPr>
      <w:r>
        <w:rPr>
          <w:rFonts w:ascii="Times New Roman" w:hAnsi="Times New Roman" w:cs="Times New Roman" w:hint="cs"/>
          <w:b/>
          <w:bCs/>
          <w:rtl/>
        </w:rPr>
        <w:t>نام</w:t>
      </w:r>
      <w:r>
        <w:rPr>
          <w:b/>
          <w:bCs/>
          <w:rtl/>
        </w:rPr>
        <w:t xml:space="preserve"> </w:t>
      </w:r>
      <w:r>
        <w:rPr>
          <w:rFonts w:ascii="Times New Roman" w:hAnsi="Times New Roman" w:cs="Times New Roman" w:hint="cs"/>
          <w:b/>
          <w:bCs/>
          <w:rtl/>
        </w:rPr>
        <w:t>و</w:t>
      </w:r>
      <w:r>
        <w:rPr>
          <w:b/>
          <w:bCs/>
          <w:rtl/>
        </w:rPr>
        <w:t xml:space="preserve"> </w:t>
      </w:r>
      <w:r>
        <w:rPr>
          <w:rFonts w:ascii="Times New Roman" w:hAnsi="Times New Roman" w:cs="Times New Roman" w:hint="cs"/>
          <w:b/>
          <w:bCs/>
          <w:rtl/>
        </w:rPr>
        <w:t>نام‌خانوادگی</w:t>
      </w:r>
      <w:r>
        <w:rPr>
          <w:b/>
          <w:bCs/>
          <w:rtl/>
        </w:rPr>
        <w:t xml:space="preserve"> </w:t>
      </w:r>
      <w:r>
        <w:rPr>
          <w:rFonts w:ascii="Times New Roman" w:hAnsi="Times New Roman" w:cs="Times New Roman" w:hint="cs"/>
          <w:b/>
          <w:bCs/>
          <w:rtl/>
        </w:rPr>
        <w:t>مجری</w:t>
      </w:r>
      <w:r>
        <w:rPr>
          <w:b/>
          <w:bCs/>
          <w:rtl/>
        </w:rPr>
        <w:t xml:space="preserve">: </w:t>
      </w:r>
      <w:r>
        <w:rPr>
          <w:rFonts w:ascii="Times New Roman" w:hAnsi="Times New Roman" w:cs="Times New Roman" w:hint="cs"/>
          <w:b/>
          <w:bCs/>
          <w:rtl/>
        </w:rPr>
        <w:t>دکتر</w:t>
      </w:r>
      <w:r>
        <w:rPr>
          <w:b/>
          <w:bCs/>
          <w:rtl/>
        </w:rPr>
        <w:t xml:space="preserve"> </w:t>
      </w:r>
      <w:r>
        <w:rPr>
          <w:rFonts w:ascii="Times New Roman" w:hAnsi="Times New Roman" w:cs="Times New Roman" w:hint="cs"/>
          <w:b/>
          <w:bCs/>
          <w:rtl/>
        </w:rPr>
        <w:t>امیرهوشنگ</w:t>
      </w:r>
      <w:r>
        <w:rPr>
          <w:b/>
          <w:bCs/>
          <w:rtl/>
        </w:rPr>
        <w:t xml:space="preserve"> </w:t>
      </w:r>
      <w:r>
        <w:rPr>
          <w:rFonts w:ascii="Times New Roman" w:hAnsi="Times New Roman" w:cs="Times New Roman" w:hint="cs"/>
          <w:b/>
          <w:bCs/>
          <w:rtl/>
        </w:rPr>
        <w:t>گرامی</w:t>
      </w:r>
    </w:p>
    <w:sectPr w:rsidR="00B745AB" w:rsidSect="00B86BBD">
      <w:pgSz w:w="11900" w:h="16840"/>
      <w:pgMar w:top="1247" w:right="1247" w:bottom="1247" w:left="1531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" w:fontKey="{F9AEA40F-4523-E24A-BDE2-DEDDB6C9A5E7}"/>
    <w:embedBold r:id="rId2" w:fontKey="{F6AB6443-99F9-FA4F-B862-3FAE27B904B2}"/>
    <w:embedItalic r:id="rId3" w:fontKey="{55FE8316-6311-FE44-B1DD-25F1172079A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23F0E744-2109-3F47-9A6E-C6E1A0DC897C}"/>
    <w:embedBold r:id="rId5" w:fontKey="{BC0EB0F1-FDAE-5A45-A280-0299CEB6C2C4}"/>
    <w:embedItalic r:id="rId6" w:fontKey="{C24D8B2E-51CB-EB4B-BF11-9785DF0C20D9}"/>
    <w:embedBoldItalic r:id="rId7" w:fontKey="{8F72DEC6-C820-A147-BF1F-9152839A08E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8" w:fontKey="{60FDC3E3-7ACA-AD40-BC75-C67A41E25CF3}"/>
    <w:embedBold r:id="rId9" w:fontKey="{78750802-A97F-8344-85F2-357712C5C25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0" w:fontKey="{C0E9E2F2-7A2A-9F4C-9C49-39162DE768B5}"/>
    <w:embedBold r:id="rId11" w:fontKey="{F1334D70-C266-1B42-9CF6-308A017243B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5AB"/>
    <w:rsid w:val="000E699C"/>
    <w:rsid w:val="001B3F59"/>
    <w:rsid w:val="00230B21"/>
    <w:rsid w:val="00301CCF"/>
    <w:rsid w:val="00356294"/>
    <w:rsid w:val="00471FDD"/>
    <w:rsid w:val="00482041"/>
    <w:rsid w:val="004D34EC"/>
    <w:rsid w:val="004D3E02"/>
    <w:rsid w:val="00530B3D"/>
    <w:rsid w:val="005343DB"/>
    <w:rsid w:val="00552BEE"/>
    <w:rsid w:val="005A540E"/>
    <w:rsid w:val="006D6048"/>
    <w:rsid w:val="007C263D"/>
    <w:rsid w:val="0085355A"/>
    <w:rsid w:val="008F1F39"/>
    <w:rsid w:val="00914CBE"/>
    <w:rsid w:val="00953921"/>
    <w:rsid w:val="009B440B"/>
    <w:rsid w:val="009C7C00"/>
    <w:rsid w:val="009E07DE"/>
    <w:rsid w:val="009E3282"/>
    <w:rsid w:val="009F7FD7"/>
    <w:rsid w:val="00A24EA4"/>
    <w:rsid w:val="00A33085"/>
    <w:rsid w:val="00B06D19"/>
    <w:rsid w:val="00B14EB4"/>
    <w:rsid w:val="00B745AB"/>
    <w:rsid w:val="00B86BBD"/>
    <w:rsid w:val="00C77B33"/>
    <w:rsid w:val="00CB2F69"/>
    <w:rsid w:val="00DA6BC3"/>
    <w:rsid w:val="00EB5A3C"/>
    <w:rsid w:val="00EC5BB0"/>
    <w:rsid w:val="00F71A5E"/>
    <w:rsid w:val="00F93C77"/>
    <w:rsid w:val="00FA73D2"/>
    <w:rsid w:val="00FE45F8"/>
    <w:rsid w:val="00FE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78A5B"/>
  <w15:docId w15:val="{3A04B6A6-26E6-4267-AEDC-F75338595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93C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C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9203</Words>
  <Characters>52463</Characters>
  <Application>Microsoft Office Word</Application>
  <DocSecurity>0</DocSecurity>
  <Lines>437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amir gerami</cp:lastModifiedBy>
  <cp:revision>5</cp:revision>
  <dcterms:created xsi:type="dcterms:W3CDTF">2026-09-23T15:09:00Z</dcterms:created>
  <dcterms:modified xsi:type="dcterms:W3CDTF">2026-09-23T15:19:00Z</dcterms:modified>
</cp:coreProperties>
</file>