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D7383" w:rsidRDefault="00B91B00" w:rsidP="005C0839">
      <w:pPr>
        <w:bidi/>
        <w:spacing w:after="120"/>
        <w:jc w:val="center"/>
      </w:pPr>
      <w:r>
        <w:rPr>
          <w:b/>
          <w:color w:val="000000"/>
          <w:sz w:val="26"/>
          <w:rtl/>
        </w:rPr>
        <w:t>بسمه تعالی</w:t>
      </w:r>
    </w:p>
    <w:p w:rsidR="002D7383" w:rsidRDefault="00B91B00" w:rsidP="005C0839">
      <w:pPr>
        <w:bidi/>
        <w:spacing w:after="120"/>
        <w:jc w:val="center"/>
      </w:pPr>
      <w:r>
        <w:rPr>
          <w:color w:val="000000"/>
          <w:sz w:val="26"/>
          <w:rtl/>
        </w:rPr>
        <w:t>جمهوری اسلامی ایران</w:t>
      </w:r>
    </w:p>
    <w:p w:rsidR="002D7383" w:rsidRDefault="00B91B00" w:rsidP="005C0839">
      <w:pPr>
        <w:bidi/>
        <w:spacing w:after="120"/>
        <w:jc w:val="center"/>
      </w:pPr>
      <w:r>
        <w:rPr>
          <w:color w:val="000000"/>
          <w:sz w:val="26"/>
          <w:rtl/>
        </w:rPr>
        <w:t>وزارت بهداشت، درمان و آموزش پزشکی</w:t>
      </w:r>
    </w:p>
    <w:p w:rsidR="002D7383" w:rsidRDefault="00B91B00" w:rsidP="005C0839">
      <w:pPr>
        <w:bidi/>
        <w:spacing w:after="120"/>
        <w:jc w:val="center"/>
      </w:pPr>
      <w:r>
        <w:rPr>
          <w:b/>
          <w:color w:val="000000"/>
          <w:sz w:val="26"/>
          <w:rtl/>
        </w:rPr>
        <w:t>دانشگاه علوم پزشکی شهید بهشتی</w:t>
      </w:r>
    </w:p>
    <w:p w:rsidR="002D7383" w:rsidRDefault="00B91B00" w:rsidP="005C0839">
      <w:pPr>
        <w:bidi/>
        <w:spacing w:after="120"/>
        <w:jc w:val="center"/>
      </w:pPr>
      <w:r>
        <w:rPr>
          <w:color w:val="000000"/>
          <w:sz w:val="26"/>
          <w:rtl/>
        </w:rPr>
        <w:t>معاونت پژوهشی</w:t>
      </w:r>
    </w:p>
    <w:p w:rsidR="002D7383" w:rsidRDefault="002D7383" w:rsidP="005C0839">
      <w:pPr>
        <w:bidi/>
        <w:spacing w:after="40"/>
        <w:jc w:val="center"/>
      </w:pPr>
    </w:p>
    <w:p w:rsidR="002D7383" w:rsidRDefault="00B91B00" w:rsidP="005C0839">
      <w:pPr>
        <w:bidi/>
        <w:spacing w:after="120"/>
        <w:jc w:val="center"/>
      </w:pPr>
      <w:r>
        <w:rPr>
          <w:b/>
          <w:color w:val="000000"/>
          <w:sz w:val="26"/>
          <w:rtl/>
        </w:rPr>
        <w:t>فرم پروپوزال پایان‌نامه دوره تخصصی بیماری‌های داخلی</w:t>
      </w:r>
    </w:p>
    <w:p w:rsidR="002D7383" w:rsidRDefault="002D7383" w:rsidP="005C0839">
      <w:pPr>
        <w:bidi/>
        <w:spacing w:after="40"/>
        <w:jc w:val="center"/>
      </w:pPr>
    </w:p>
    <w:p w:rsidR="002D7383" w:rsidRDefault="00B91B00" w:rsidP="005C0839">
      <w:pPr>
        <w:bidi/>
        <w:spacing w:before="200" w:after="80"/>
        <w:jc w:val="center"/>
      </w:pPr>
      <w:r>
        <w:rPr>
          <w:b/>
          <w:color w:val="1F497D"/>
          <w:sz w:val="28"/>
          <w:rtl/>
        </w:rPr>
        <w:t>۱- مشخصات ارائه‌دهنده پروژه</w:t>
      </w:r>
    </w:p>
    <w:p w:rsidR="002D7383" w:rsidRDefault="00B91B00" w:rsidP="005C0839">
      <w:pPr>
        <w:bidi/>
        <w:spacing w:after="80"/>
        <w:jc w:val="center"/>
      </w:pPr>
      <w:r>
        <w:rPr>
          <w:b/>
          <w:color w:val="000000"/>
          <w:sz w:val="24"/>
          <w:rtl/>
        </w:rPr>
        <w:t>۱-۱- نام و نام خانوادگی مجری:</w:t>
      </w:r>
    </w:p>
    <w:p w:rsidR="002D7383" w:rsidRDefault="00B91B00" w:rsidP="005C0839">
      <w:pPr>
        <w:bidi/>
        <w:spacing w:after="100"/>
        <w:ind w:firstLine="283"/>
        <w:jc w:val="center"/>
      </w:pPr>
      <w:r>
        <w:rPr>
          <w:color w:val="000000"/>
          <w:sz w:val="24"/>
          <w:rtl/>
        </w:rPr>
        <w:t>دکتر امیرهوشنگ گرامی</w:t>
      </w:r>
    </w:p>
    <w:p w:rsidR="002D7383" w:rsidRDefault="00B91B00" w:rsidP="005C0839">
      <w:pPr>
        <w:bidi/>
        <w:spacing w:after="80"/>
        <w:jc w:val="center"/>
      </w:pPr>
      <w:r>
        <w:rPr>
          <w:b/>
          <w:color w:val="000000"/>
          <w:sz w:val="24"/>
          <w:rtl/>
        </w:rPr>
        <w:t>۱-۲- واحد اجراکننده:</w:t>
      </w:r>
    </w:p>
    <w:p w:rsidR="002D7383" w:rsidRDefault="00B91B00" w:rsidP="005C0839">
      <w:pPr>
        <w:bidi/>
        <w:spacing w:after="100"/>
        <w:ind w:firstLine="283"/>
        <w:jc w:val="center"/>
      </w:pPr>
      <w:r>
        <w:rPr>
          <w:color w:val="000000"/>
          <w:sz w:val="24"/>
          <w:rtl/>
        </w:rPr>
        <w:t xml:space="preserve">دانشکده پزشکی </w:t>
      </w:r>
      <w:r w:rsidR="00DB4BB0">
        <w:rPr>
          <w:rFonts w:hint="cs"/>
          <w:color w:val="000000"/>
          <w:sz w:val="24"/>
          <w:rtl/>
          <w:lang w:bidi="fa-IR"/>
        </w:rPr>
        <w:t>و مرکز تحقیقات چاقی پژوهشکده غدد و متابولیسم</w:t>
      </w:r>
      <w:r>
        <w:rPr>
          <w:color w:val="000000"/>
          <w:sz w:val="24"/>
          <w:rtl/>
        </w:rPr>
        <w:t xml:space="preserve"> |  گروه: بیماری‌های داخلی  |  مدت اجرا: ۱۸ ماه</w:t>
      </w:r>
    </w:p>
    <w:p w:rsidR="002D7383" w:rsidRDefault="00B91B00" w:rsidP="005C0839">
      <w:pPr>
        <w:bidi/>
        <w:spacing w:after="80"/>
        <w:jc w:val="center"/>
      </w:pPr>
      <w:r>
        <w:rPr>
          <w:b/>
          <w:color w:val="000000"/>
          <w:sz w:val="24"/>
          <w:rtl/>
        </w:rPr>
        <w:t>۱-۳- مشخصات همکاران اصلی:</w:t>
      </w:r>
    </w:p>
    <w:tbl>
      <w:tblPr>
        <w:tblStyle w:val="TableGrid"/>
        <w:tblW w:w="0" w:type="auto"/>
        <w:jc w:val="right"/>
        <w:tblLook w:val="04A0" w:firstRow="1" w:lastRow="0" w:firstColumn="1" w:lastColumn="0" w:noHBand="0" w:noVBand="1"/>
      </w:tblPr>
      <w:tblGrid>
        <w:gridCol w:w="2280"/>
        <w:gridCol w:w="2280"/>
        <w:gridCol w:w="2280"/>
        <w:gridCol w:w="2280"/>
      </w:tblGrid>
      <w:tr w:rsidR="002D7383" w:rsidTr="00945D78">
        <w:trPr>
          <w:jc w:val="right"/>
        </w:trPr>
        <w:tc>
          <w:tcPr>
            <w:tcW w:w="2280" w:type="dxa"/>
            <w:vAlign w:val="center"/>
          </w:tcPr>
          <w:p w:rsidR="002D7383" w:rsidRDefault="00B91B00" w:rsidP="00945D78">
            <w:pPr>
              <w:bidi/>
              <w:spacing w:after="40"/>
              <w:jc w:val="center"/>
            </w:pPr>
            <w:r>
              <w:rPr>
                <w:b/>
                <w:color w:val="000000"/>
                <w:rtl/>
              </w:rPr>
              <w:t xml:space="preserve">نام </w:t>
            </w:r>
            <w:proofErr w:type="gramStart"/>
            <w:r>
              <w:rPr>
                <w:b/>
                <w:color w:val="000000"/>
                <w:rtl/>
              </w:rPr>
              <w:t>و نام</w:t>
            </w:r>
            <w:proofErr w:type="gramEnd"/>
            <w:r>
              <w:rPr>
                <w:b/>
                <w:color w:val="000000"/>
                <w:rtl/>
              </w:rPr>
              <w:t xml:space="preserve"> </w:t>
            </w:r>
            <w:proofErr w:type="spellStart"/>
            <w:r>
              <w:rPr>
                <w:b/>
                <w:color w:val="000000"/>
                <w:rtl/>
              </w:rPr>
              <w:t>خانوادگی</w:t>
            </w:r>
            <w:proofErr w:type="spellEnd"/>
          </w:p>
        </w:tc>
        <w:tc>
          <w:tcPr>
            <w:tcW w:w="2280" w:type="dxa"/>
            <w:vAlign w:val="center"/>
          </w:tcPr>
          <w:p w:rsidR="002D7383" w:rsidRDefault="00B91B00" w:rsidP="00945D78">
            <w:pPr>
              <w:bidi/>
              <w:spacing w:after="40"/>
              <w:jc w:val="center"/>
            </w:pPr>
            <w:r>
              <w:rPr>
                <w:b/>
                <w:color w:val="000000"/>
                <w:rtl/>
              </w:rPr>
              <w:t>شغل / رشته</w:t>
            </w:r>
          </w:p>
        </w:tc>
        <w:tc>
          <w:tcPr>
            <w:tcW w:w="2280" w:type="dxa"/>
            <w:vAlign w:val="center"/>
          </w:tcPr>
          <w:p w:rsidR="002D7383" w:rsidRDefault="00B91B00" w:rsidP="00945D78">
            <w:pPr>
              <w:bidi/>
              <w:spacing w:after="40"/>
              <w:jc w:val="center"/>
            </w:pPr>
            <w:r>
              <w:rPr>
                <w:b/>
                <w:color w:val="000000"/>
                <w:rtl/>
              </w:rPr>
              <w:t xml:space="preserve">رتبه </w:t>
            </w:r>
            <w:proofErr w:type="spellStart"/>
            <w:r>
              <w:rPr>
                <w:b/>
                <w:color w:val="000000"/>
                <w:rtl/>
              </w:rPr>
              <w:t>علمی</w:t>
            </w:r>
            <w:proofErr w:type="spellEnd"/>
          </w:p>
        </w:tc>
        <w:tc>
          <w:tcPr>
            <w:tcW w:w="2280" w:type="dxa"/>
            <w:vAlign w:val="center"/>
          </w:tcPr>
          <w:p w:rsidR="002D7383" w:rsidRDefault="00B91B00" w:rsidP="00945D78">
            <w:pPr>
              <w:bidi/>
              <w:spacing w:after="40"/>
              <w:jc w:val="center"/>
            </w:pPr>
            <w:r>
              <w:rPr>
                <w:b/>
                <w:color w:val="000000"/>
                <w:rtl/>
              </w:rPr>
              <w:t xml:space="preserve">نوع </w:t>
            </w:r>
            <w:proofErr w:type="spellStart"/>
            <w:r>
              <w:rPr>
                <w:b/>
                <w:color w:val="000000"/>
                <w:rtl/>
              </w:rPr>
              <w:t>همکاری</w:t>
            </w:r>
            <w:proofErr w:type="spellEnd"/>
          </w:p>
        </w:tc>
      </w:tr>
      <w:tr w:rsidR="002D7383" w:rsidTr="00945D78">
        <w:trPr>
          <w:jc w:val="right"/>
        </w:trPr>
        <w:tc>
          <w:tcPr>
            <w:tcW w:w="2280" w:type="dxa"/>
            <w:vAlign w:val="center"/>
          </w:tcPr>
          <w:p w:rsidR="002D7383" w:rsidRDefault="002D7383" w:rsidP="00945D78">
            <w:pPr>
              <w:bidi/>
              <w:jc w:val="center"/>
            </w:pPr>
          </w:p>
          <w:p w:rsidR="002D7383" w:rsidRDefault="00B91B00" w:rsidP="00945D78">
            <w:pPr>
              <w:bidi/>
              <w:spacing w:after="40"/>
              <w:jc w:val="center"/>
            </w:pPr>
            <w:proofErr w:type="spellStart"/>
            <w:r>
              <w:rPr>
                <w:color w:val="000000"/>
                <w:rtl/>
              </w:rPr>
              <w:t>دکتر</w:t>
            </w:r>
            <w:proofErr w:type="spellEnd"/>
            <w:r>
              <w:rPr>
                <w:color w:val="000000"/>
                <w:rtl/>
              </w:rPr>
              <w:t xml:space="preserve"> </w:t>
            </w:r>
            <w:proofErr w:type="spellStart"/>
            <w:r w:rsidR="00945D78">
              <w:rPr>
                <w:rFonts w:hint="cs"/>
                <w:color w:val="000000"/>
                <w:rtl/>
              </w:rPr>
              <w:t>سید</w:t>
            </w:r>
            <w:proofErr w:type="spellEnd"/>
            <w:r w:rsidR="00945D78">
              <w:rPr>
                <w:rFonts w:hint="cs"/>
                <w:color w:val="000000"/>
                <w:rtl/>
              </w:rPr>
              <w:t xml:space="preserve"> </w:t>
            </w:r>
            <w:proofErr w:type="spellStart"/>
            <w:r>
              <w:rPr>
                <w:color w:val="000000"/>
                <w:rtl/>
              </w:rPr>
              <w:t>امیرحسین</w:t>
            </w:r>
            <w:proofErr w:type="spellEnd"/>
            <w:r>
              <w:rPr>
                <w:color w:val="000000"/>
                <w:rtl/>
              </w:rPr>
              <w:t xml:space="preserve"> فاضلی</w:t>
            </w:r>
          </w:p>
        </w:tc>
        <w:tc>
          <w:tcPr>
            <w:tcW w:w="2280" w:type="dxa"/>
            <w:vAlign w:val="center"/>
          </w:tcPr>
          <w:p w:rsidR="002D7383" w:rsidRDefault="00945D78" w:rsidP="00945D78">
            <w:pPr>
              <w:bidi/>
              <w:spacing w:after="40"/>
              <w:jc w:val="center"/>
            </w:pPr>
            <w:r>
              <w:rPr>
                <w:rFonts w:hint="cs"/>
                <w:color w:val="000000"/>
                <w:rtl/>
              </w:rPr>
              <w:t xml:space="preserve">فوق تخصص </w:t>
            </w:r>
            <w:r w:rsidR="00B91B00">
              <w:rPr>
                <w:color w:val="000000"/>
                <w:rtl/>
              </w:rPr>
              <w:t>نفرولوژی</w:t>
            </w:r>
          </w:p>
        </w:tc>
        <w:tc>
          <w:tcPr>
            <w:tcW w:w="2280" w:type="dxa"/>
            <w:vAlign w:val="center"/>
          </w:tcPr>
          <w:p w:rsidR="002D7383" w:rsidRDefault="00B91B00" w:rsidP="00945D78">
            <w:pPr>
              <w:bidi/>
              <w:spacing w:after="40"/>
              <w:jc w:val="center"/>
            </w:pPr>
            <w:proofErr w:type="spellStart"/>
            <w:r>
              <w:rPr>
                <w:color w:val="000000"/>
                <w:rtl/>
              </w:rPr>
              <w:t>استادیار</w:t>
            </w:r>
            <w:proofErr w:type="spellEnd"/>
          </w:p>
        </w:tc>
        <w:tc>
          <w:tcPr>
            <w:tcW w:w="2280" w:type="dxa"/>
            <w:vAlign w:val="center"/>
          </w:tcPr>
          <w:p w:rsidR="002D7383" w:rsidRDefault="00B91B00" w:rsidP="00945D78">
            <w:pPr>
              <w:bidi/>
              <w:spacing w:after="40"/>
              <w:jc w:val="center"/>
              <w:rPr>
                <w:rtl/>
                <w:lang w:bidi="fa-IR"/>
              </w:rPr>
            </w:pPr>
            <w:r>
              <w:rPr>
                <w:color w:val="000000"/>
                <w:rtl/>
              </w:rPr>
              <w:t xml:space="preserve">استاد </w:t>
            </w:r>
            <w:proofErr w:type="spellStart"/>
            <w:r>
              <w:rPr>
                <w:color w:val="000000"/>
                <w:rtl/>
              </w:rPr>
              <w:t>راهنما</w:t>
            </w:r>
            <w:proofErr w:type="spellEnd"/>
            <w:r w:rsidR="00BC7BF9">
              <w:rPr>
                <w:rFonts w:hint="cs"/>
                <w:color w:val="000000"/>
                <w:rtl/>
                <w:lang w:bidi="fa-IR"/>
              </w:rPr>
              <w:t xml:space="preserve"> اول</w:t>
            </w:r>
          </w:p>
        </w:tc>
      </w:tr>
      <w:tr w:rsidR="002D7383" w:rsidTr="00945D78">
        <w:trPr>
          <w:jc w:val="right"/>
        </w:trPr>
        <w:tc>
          <w:tcPr>
            <w:tcW w:w="2280" w:type="dxa"/>
            <w:vAlign w:val="center"/>
          </w:tcPr>
          <w:p w:rsidR="002D7383" w:rsidRDefault="00B91B00" w:rsidP="00945D78">
            <w:pPr>
              <w:bidi/>
              <w:spacing w:after="40"/>
              <w:jc w:val="center"/>
            </w:pPr>
            <w:proofErr w:type="spellStart"/>
            <w:r>
              <w:rPr>
                <w:color w:val="000000"/>
                <w:rtl/>
              </w:rPr>
              <w:t>دکتر</w:t>
            </w:r>
            <w:proofErr w:type="spellEnd"/>
            <w:r>
              <w:rPr>
                <w:color w:val="000000"/>
                <w:rtl/>
              </w:rPr>
              <w:t xml:space="preserve"> </w:t>
            </w:r>
            <w:proofErr w:type="spellStart"/>
            <w:r>
              <w:rPr>
                <w:color w:val="000000"/>
                <w:rtl/>
              </w:rPr>
              <w:t>مجید</w:t>
            </w:r>
            <w:proofErr w:type="spellEnd"/>
            <w:r>
              <w:rPr>
                <w:color w:val="000000"/>
                <w:rtl/>
              </w:rPr>
              <w:t xml:space="preserve"> </w:t>
            </w:r>
            <w:proofErr w:type="spellStart"/>
            <w:r>
              <w:rPr>
                <w:color w:val="000000"/>
                <w:rtl/>
              </w:rPr>
              <w:t>ولی‌زاده</w:t>
            </w:r>
            <w:proofErr w:type="spellEnd"/>
          </w:p>
        </w:tc>
        <w:tc>
          <w:tcPr>
            <w:tcW w:w="2280" w:type="dxa"/>
            <w:vAlign w:val="center"/>
          </w:tcPr>
          <w:p w:rsidR="002D7383" w:rsidRDefault="00945D78" w:rsidP="00945D78">
            <w:pPr>
              <w:bidi/>
              <w:spacing w:after="40"/>
              <w:jc w:val="center"/>
            </w:pPr>
            <w:r>
              <w:rPr>
                <w:rFonts w:hint="cs"/>
                <w:color w:val="000000"/>
                <w:rtl/>
              </w:rPr>
              <w:t xml:space="preserve">فوق </w:t>
            </w:r>
            <w:r w:rsidR="00B91B00">
              <w:rPr>
                <w:color w:val="000000"/>
                <w:rtl/>
              </w:rPr>
              <w:t xml:space="preserve">تخصص غدد </w:t>
            </w:r>
            <w:proofErr w:type="gramStart"/>
            <w:r w:rsidR="00B91B00">
              <w:rPr>
                <w:color w:val="000000"/>
                <w:rtl/>
              </w:rPr>
              <w:t xml:space="preserve">و </w:t>
            </w:r>
            <w:proofErr w:type="spellStart"/>
            <w:r w:rsidR="00B91B00">
              <w:rPr>
                <w:color w:val="000000"/>
                <w:rtl/>
              </w:rPr>
              <w:t>متابولیسم</w:t>
            </w:r>
            <w:proofErr w:type="spellEnd"/>
            <w:proofErr w:type="gramEnd"/>
          </w:p>
        </w:tc>
        <w:tc>
          <w:tcPr>
            <w:tcW w:w="2280" w:type="dxa"/>
            <w:vAlign w:val="center"/>
          </w:tcPr>
          <w:p w:rsidR="002D7383" w:rsidRDefault="00B91B00" w:rsidP="00945D78">
            <w:pPr>
              <w:bidi/>
              <w:spacing w:after="40"/>
              <w:jc w:val="center"/>
            </w:pPr>
            <w:r>
              <w:rPr>
                <w:color w:val="000000"/>
                <w:rtl/>
              </w:rPr>
              <w:t>استاد</w:t>
            </w:r>
          </w:p>
        </w:tc>
        <w:tc>
          <w:tcPr>
            <w:tcW w:w="2280" w:type="dxa"/>
            <w:vAlign w:val="center"/>
          </w:tcPr>
          <w:p w:rsidR="002D7383" w:rsidRDefault="00B91B00" w:rsidP="00945D78">
            <w:pPr>
              <w:bidi/>
              <w:spacing w:after="40"/>
              <w:jc w:val="center"/>
            </w:pPr>
            <w:r>
              <w:rPr>
                <w:color w:val="000000"/>
                <w:rtl/>
              </w:rPr>
              <w:t xml:space="preserve">استاد </w:t>
            </w:r>
            <w:proofErr w:type="spellStart"/>
            <w:r w:rsidR="00BC7BF9">
              <w:rPr>
                <w:rFonts w:hint="cs"/>
                <w:color w:val="000000"/>
                <w:rtl/>
              </w:rPr>
              <w:t>راهنما</w:t>
            </w:r>
            <w:proofErr w:type="spellEnd"/>
            <w:r w:rsidR="00BC7BF9">
              <w:rPr>
                <w:rFonts w:hint="cs"/>
                <w:color w:val="000000"/>
                <w:rtl/>
              </w:rPr>
              <w:t xml:space="preserve"> دوم</w:t>
            </w:r>
          </w:p>
        </w:tc>
      </w:tr>
      <w:tr w:rsidR="002D7383" w:rsidTr="00945D78">
        <w:trPr>
          <w:jc w:val="right"/>
        </w:trPr>
        <w:tc>
          <w:tcPr>
            <w:tcW w:w="2280" w:type="dxa"/>
            <w:vAlign w:val="center"/>
          </w:tcPr>
          <w:p w:rsidR="002D7383" w:rsidRDefault="00B91B00" w:rsidP="00945D78">
            <w:pPr>
              <w:bidi/>
              <w:spacing w:after="40"/>
              <w:jc w:val="center"/>
            </w:pPr>
            <w:proofErr w:type="spellStart"/>
            <w:r>
              <w:rPr>
                <w:color w:val="000000"/>
                <w:rtl/>
              </w:rPr>
              <w:t>دکتر</w:t>
            </w:r>
            <w:proofErr w:type="spellEnd"/>
            <w:r>
              <w:rPr>
                <w:color w:val="000000"/>
                <w:rtl/>
              </w:rPr>
              <w:t xml:space="preserve"> فرهاد </w:t>
            </w:r>
            <w:proofErr w:type="spellStart"/>
            <w:r>
              <w:rPr>
                <w:color w:val="000000"/>
                <w:rtl/>
              </w:rPr>
              <w:t>حسین‌پناه</w:t>
            </w:r>
            <w:proofErr w:type="spellEnd"/>
          </w:p>
        </w:tc>
        <w:tc>
          <w:tcPr>
            <w:tcW w:w="2280" w:type="dxa"/>
            <w:vAlign w:val="center"/>
          </w:tcPr>
          <w:p w:rsidR="002D7383" w:rsidRDefault="00945D78" w:rsidP="00945D78">
            <w:pPr>
              <w:bidi/>
              <w:spacing w:after="40"/>
              <w:jc w:val="center"/>
            </w:pPr>
            <w:r>
              <w:rPr>
                <w:rFonts w:hint="cs"/>
                <w:color w:val="000000"/>
                <w:rtl/>
              </w:rPr>
              <w:t xml:space="preserve">فوق </w:t>
            </w:r>
            <w:r w:rsidR="00B91B00">
              <w:rPr>
                <w:color w:val="000000"/>
                <w:rtl/>
              </w:rPr>
              <w:t xml:space="preserve">تخصص غدد </w:t>
            </w:r>
            <w:proofErr w:type="gramStart"/>
            <w:r w:rsidR="00B91B00">
              <w:rPr>
                <w:color w:val="000000"/>
                <w:rtl/>
              </w:rPr>
              <w:t xml:space="preserve">و </w:t>
            </w:r>
            <w:proofErr w:type="spellStart"/>
            <w:r w:rsidR="00B91B00">
              <w:rPr>
                <w:color w:val="000000"/>
                <w:rtl/>
              </w:rPr>
              <w:t>متابولیسم</w:t>
            </w:r>
            <w:proofErr w:type="spellEnd"/>
            <w:proofErr w:type="gramEnd"/>
          </w:p>
        </w:tc>
        <w:tc>
          <w:tcPr>
            <w:tcW w:w="2280" w:type="dxa"/>
            <w:vAlign w:val="center"/>
          </w:tcPr>
          <w:p w:rsidR="002D7383" w:rsidRDefault="00B91B00" w:rsidP="00945D78">
            <w:pPr>
              <w:bidi/>
              <w:spacing w:after="40"/>
              <w:jc w:val="center"/>
            </w:pPr>
            <w:r>
              <w:rPr>
                <w:color w:val="000000"/>
                <w:rtl/>
              </w:rPr>
              <w:t>استاد</w:t>
            </w:r>
          </w:p>
        </w:tc>
        <w:tc>
          <w:tcPr>
            <w:tcW w:w="2280" w:type="dxa"/>
            <w:vAlign w:val="center"/>
          </w:tcPr>
          <w:p w:rsidR="002D7383" w:rsidRDefault="00B91B00" w:rsidP="00945D78">
            <w:pPr>
              <w:bidi/>
              <w:spacing w:after="40"/>
              <w:jc w:val="center"/>
            </w:pPr>
            <w:r>
              <w:rPr>
                <w:color w:val="000000"/>
                <w:rtl/>
              </w:rPr>
              <w:t>استاد مشاور</w:t>
            </w:r>
          </w:p>
        </w:tc>
      </w:tr>
      <w:tr w:rsidR="00722903" w:rsidTr="00945D78">
        <w:trPr>
          <w:jc w:val="right"/>
        </w:trPr>
        <w:tc>
          <w:tcPr>
            <w:tcW w:w="2280" w:type="dxa"/>
            <w:vAlign w:val="center"/>
          </w:tcPr>
          <w:p w:rsidR="00722903" w:rsidRDefault="00722903" w:rsidP="00722903">
            <w:pPr>
              <w:bidi/>
              <w:spacing w:after="40"/>
              <w:jc w:val="center"/>
              <w:rPr>
                <w:rFonts w:hint="cs"/>
                <w:color w:val="000000"/>
                <w:lang w:bidi="fa-IR"/>
              </w:rPr>
            </w:pPr>
            <w:r>
              <w:rPr>
                <w:rFonts w:hint="cs"/>
                <w:color w:val="000000"/>
                <w:rtl/>
                <w:lang w:bidi="fa-IR"/>
              </w:rPr>
              <w:t>دکتر مهدوی</w:t>
            </w:r>
          </w:p>
        </w:tc>
        <w:tc>
          <w:tcPr>
            <w:tcW w:w="2280" w:type="dxa"/>
            <w:vAlign w:val="center"/>
          </w:tcPr>
          <w:p w:rsidR="00722903" w:rsidRDefault="00722903" w:rsidP="00722903">
            <w:pPr>
              <w:bidi/>
              <w:spacing w:after="40"/>
              <w:jc w:val="center"/>
              <w:rPr>
                <w:rFonts w:hint="cs"/>
                <w:color w:val="000000"/>
                <w:rtl/>
              </w:rPr>
            </w:pPr>
          </w:p>
        </w:tc>
        <w:tc>
          <w:tcPr>
            <w:tcW w:w="2280" w:type="dxa"/>
            <w:vAlign w:val="center"/>
          </w:tcPr>
          <w:p w:rsidR="00722903" w:rsidRDefault="00722903" w:rsidP="00722903">
            <w:pPr>
              <w:bidi/>
              <w:spacing w:after="40"/>
              <w:jc w:val="center"/>
              <w:rPr>
                <w:color w:val="000000"/>
                <w:rtl/>
              </w:rPr>
            </w:pPr>
          </w:p>
        </w:tc>
        <w:tc>
          <w:tcPr>
            <w:tcW w:w="2280" w:type="dxa"/>
            <w:vAlign w:val="center"/>
          </w:tcPr>
          <w:p w:rsidR="00722903" w:rsidRDefault="00722903" w:rsidP="00722903">
            <w:pPr>
              <w:bidi/>
              <w:spacing w:after="40"/>
              <w:jc w:val="center"/>
            </w:pPr>
            <w:r>
              <w:rPr>
                <w:color w:val="000000"/>
                <w:rtl/>
              </w:rPr>
              <w:t>استاد مشاور</w:t>
            </w:r>
          </w:p>
        </w:tc>
      </w:tr>
    </w:tbl>
    <w:p w:rsidR="002D7383" w:rsidRDefault="002D7383" w:rsidP="005C0839">
      <w:pPr>
        <w:bidi/>
        <w:spacing w:after="40"/>
        <w:jc w:val="center"/>
      </w:pPr>
    </w:p>
    <w:p w:rsidR="002D7383" w:rsidRDefault="00B91B00" w:rsidP="00F4568E">
      <w:pPr>
        <w:bidi/>
        <w:spacing w:after="80"/>
        <w:jc w:val="center"/>
      </w:pPr>
      <w:r>
        <w:rPr>
          <w:b/>
          <w:color w:val="000000"/>
          <w:sz w:val="24"/>
          <w:rtl/>
        </w:rPr>
        <w:t>۱-۴- بودجه درخواستی:</w:t>
      </w:r>
      <w:r w:rsidR="00F4568E">
        <w:rPr>
          <w:rFonts w:hint="cs"/>
          <w:rtl/>
          <w:lang w:bidi="fa-IR"/>
        </w:rPr>
        <w:t xml:space="preserve"> </w:t>
      </w:r>
      <w:r>
        <w:rPr>
          <w:color w:val="000000"/>
          <w:sz w:val="24"/>
          <w:rtl/>
        </w:rPr>
        <w:t>بودجه مورد نیاز پس از هماهنگی با گروه تکمیل خواهد شد.</w:t>
      </w:r>
    </w:p>
    <w:p w:rsidR="002D7383" w:rsidRDefault="00B91B00" w:rsidP="005C0839">
      <w:pPr>
        <w:bidi/>
        <w:spacing w:before="200" w:after="80"/>
        <w:jc w:val="center"/>
      </w:pPr>
      <w:r>
        <w:rPr>
          <w:b/>
          <w:color w:val="1F497D"/>
          <w:sz w:val="28"/>
          <w:rtl/>
        </w:rPr>
        <w:t>۲- اطلاعات پروژه</w:t>
      </w:r>
    </w:p>
    <w:p w:rsidR="002D7383" w:rsidRDefault="00B91B00" w:rsidP="005C0839">
      <w:pPr>
        <w:bidi/>
        <w:spacing w:after="80"/>
        <w:jc w:val="center"/>
      </w:pPr>
      <w:r>
        <w:rPr>
          <w:b/>
          <w:color w:val="000000"/>
          <w:sz w:val="24"/>
          <w:rtl/>
        </w:rPr>
        <w:t>۲-۱- عنوان پروژه:</w:t>
      </w:r>
    </w:p>
    <w:p w:rsidR="00BC7BF9" w:rsidRDefault="00B91B00" w:rsidP="005C0839">
      <w:pPr>
        <w:bidi/>
        <w:spacing w:after="100"/>
        <w:ind w:firstLine="283"/>
        <w:jc w:val="center"/>
        <w:rPr>
          <w:color w:val="000000"/>
          <w:sz w:val="24"/>
        </w:rPr>
      </w:pPr>
      <w:r>
        <w:rPr>
          <w:color w:val="000000"/>
          <w:sz w:val="24"/>
          <w:rtl/>
        </w:rPr>
        <w:t>فارسی:</w:t>
      </w:r>
    </w:p>
    <w:p w:rsidR="002D7383" w:rsidRPr="00F4568E" w:rsidRDefault="00B91B00" w:rsidP="00BC7BF9">
      <w:pPr>
        <w:bidi/>
        <w:spacing w:after="100"/>
        <w:ind w:firstLine="283"/>
        <w:jc w:val="center"/>
        <w:rPr>
          <w:rFonts w:hint="cs"/>
          <w:b/>
          <w:bCs/>
          <w:rtl/>
          <w:lang w:bidi="fa-IR"/>
        </w:rPr>
      </w:pPr>
      <w:r w:rsidRPr="00F4568E">
        <w:rPr>
          <w:b/>
          <w:bCs/>
          <w:color w:val="000000"/>
          <w:sz w:val="24"/>
          <w:rtl/>
        </w:rPr>
        <w:t xml:space="preserve"> ارتباط </w:t>
      </w:r>
      <w:r w:rsidR="00BC7BF9" w:rsidRPr="00F4568E">
        <w:rPr>
          <w:rFonts w:hint="cs"/>
          <w:b/>
          <w:bCs/>
          <w:color w:val="000000"/>
          <w:sz w:val="24"/>
          <w:rtl/>
          <w:lang w:bidi="fa-IR"/>
        </w:rPr>
        <w:t>الگوهای مختلف</w:t>
      </w:r>
      <w:r w:rsidR="00BC7BF9" w:rsidRPr="00F4568E">
        <w:rPr>
          <w:b/>
          <w:bCs/>
          <w:color w:val="000000"/>
          <w:sz w:val="24"/>
          <w:rtl/>
        </w:rPr>
        <w:t xml:space="preserve"> </w:t>
      </w:r>
      <w:proofErr w:type="spellStart"/>
      <w:r w:rsidR="00BC7BF9" w:rsidRPr="00F4568E">
        <w:rPr>
          <w:b/>
          <w:bCs/>
          <w:color w:val="000000"/>
          <w:sz w:val="24"/>
          <w:rtl/>
        </w:rPr>
        <w:t>چاقی</w:t>
      </w:r>
      <w:proofErr w:type="spellEnd"/>
      <w:r w:rsidR="00BC7BF9" w:rsidRPr="00F4568E">
        <w:rPr>
          <w:b/>
          <w:bCs/>
          <w:color w:val="000000"/>
          <w:sz w:val="24"/>
          <w:rtl/>
        </w:rPr>
        <w:t xml:space="preserve"> در</w:t>
      </w:r>
      <w:r w:rsidR="00BC7BF9" w:rsidRPr="00F4568E">
        <w:rPr>
          <w:rFonts w:hint="cs"/>
          <w:b/>
          <w:bCs/>
          <w:color w:val="000000"/>
          <w:sz w:val="24"/>
          <w:rtl/>
        </w:rPr>
        <w:t xml:space="preserve"> </w:t>
      </w:r>
      <w:proofErr w:type="spellStart"/>
      <w:r w:rsidR="00BC7BF9" w:rsidRPr="00F4568E">
        <w:rPr>
          <w:b/>
          <w:bCs/>
          <w:color w:val="000000"/>
          <w:sz w:val="24"/>
          <w:rtl/>
        </w:rPr>
        <w:t>نوجوان</w:t>
      </w:r>
      <w:r w:rsidR="00BC7BF9" w:rsidRPr="00F4568E">
        <w:rPr>
          <w:rFonts w:hint="cs"/>
          <w:b/>
          <w:bCs/>
          <w:color w:val="000000"/>
          <w:sz w:val="24"/>
          <w:rtl/>
        </w:rPr>
        <w:t>ان</w:t>
      </w:r>
      <w:proofErr w:type="spellEnd"/>
      <w:r w:rsidRPr="00F4568E">
        <w:rPr>
          <w:b/>
          <w:bCs/>
          <w:color w:val="000000"/>
          <w:sz w:val="24"/>
          <w:rtl/>
        </w:rPr>
        <w:t xml:space="preserve"> </w:t>
      </w:r>
      <w:proofErr w:type="spellStart"/>
      <w:r w:rsidRPr="00F4568E">
        <w:rPr>
          <w:b/>
          <w:bCs/>
          <w:color w:val="000000"/>
          <w:sz w:val="24"/>
          <w:rtl/>
        </w:rPr>
        <w:t>با</w:t>
      </w:r>
      <w:proofErr w:type="spellEnd"/>
      <w:r w:rsidRPr="00F4568E">
        <w:rPr>
          <w:b/>
          <w:bCs/>
          <w:color w:val="000000"/>
          <w:sz w:val="24"/>
          <w:rtl/>
        </w:rPr>
        <w:t xml:space="preserve"> </w:t>
      </w:r>
      <w:proofErr w:type="spellStart"/>
      <w:r w:rsidR="00BC7BF9" w:rsidRPr="00F4568E">
        <w:rPr>
          <w:rFonts w:hint="cs"/>
          <w:b/>
          <w:bCs/>
          <w:color w:val="000000"/>
          <w:sz w:val="24"/>
          <w:rtl/>
        </w:rPr>
        <w:t>م</w:t>
      </w:r>
      <w:r w:rsidRPr="00F4568E">
        <w:rPr>
          <w:b/>
          <w:bCs/>
          <w:color w:val="000000"/>
          <w:sz w:val="24"/>
          <w:rtl/>
        </w:rPr>
        <w:t>سیر</w:t>
      </w:r>
      <w:proofErr w:type="spellEnd"/>
      <w:r w:rsidR="00BC7BF9" w:rsidRPr="00F4568E">
        <w:rPr>
          <w:rFonts w:hint="cs"/>
          <w:b/>
          <w:bCs/>
          <w:color w:val="000000"/>
          <w:sz w:val="24"/>
          <w:rtl/>
        </w:rPr>
        <w:t xml:space="preserve"> </w:t>
      </w:r>
      <w:proofErr w:type="spellStart"/>
      <w:r w:rsidR="00BC7BF9" w:rsidRPr="00F4568E">
        <w:rPr>
          <w:rFonts w:hint="cs"/>
          <w:b/>
          <w:bCs/>
          <w:color w:val="000000"/>
          <w:sz w:val="24"/>
          <w:rtl/>
        </w:rPr>
        <w:t>تغییرات</w:t>
      </w:r>
      <w:proofErr w:type="spellEnd"/>
      <w:r w:rsidRPr="00F4568E">
        <w:rPr>
          <w:b/>
          <w:bCs/>
          <w:color w:val="000000"/>
          <w:sz w:val="24"/>
          <w:rtl/>
        </w:rPr>
        <w:t xml:space="preserve"> </w:t>
      </w:r>
      <w:proofErr w:type="spellStart"/>
      <w:r w:rsidRPr="00F4568E">
        <w:rPr>
          <w:b/>
          <w:bCs/>
          <w:color w:val="000000"/>
          <w:sz w:val="24"/>
          <w:rtl/>
        </w:rPr>
        <w:t>بلند</w:t>
      </w:r>
      <w:proofErr w:type="spellEnd"/>
      <w:r w:rsidR="00BC7BF9" w:rsidRPr="00F4568E">
        <w:rPr>
          <w:rFonts w:hint="cs"/>
          <w:b/>
          <w:bCs/>
          <w:color w:val="000000"/>
          <w:sz w:val="24"/>
          <w:rtl/>
        </w:rPr>
        <w:t xml:space="preserve"> </w:t>
      </w:r>
      <w:r w:rsidRPr="00F4568E">
        <w:rPr>
          <w:b/>
          <w:bCs/>
          <w:color w:val="000000"/>
          <w:sz w:val="24"/>
          <w:rtl/>
        </w:rPr>
        <w:t>مدت</w:t>
      </w:r>
      <w:r w:rsidR="00BC7BF9" w:rsidRPr="00F4568E">
        <w:rPr>
          <w:rFonts w:hint="cs"/>
          <w:b/>
          <w:bCs/>
          <w:color w:val="000000"/>
          <w:sz w:val="24"/>
          <w:rtl/>
        </w:rPr>
        <w:t xml:space="preserve"> </w:t>
      </w:r>
      <w:proofErr w:type="spellStart"/>
      <w:r w:rsidRPr="00F4568E">
        <w:rPr>
          <w:b/>
          <w:bCs/>
          <w:color w:val="000000"/>
          <w:sz w:val="24"/>
          <w:rtl/>
        </w:rPr>
        <w:t>عملکرد</w:t>
      </w:r>
      <w:proofErr w:type="spellEnd"/>
      <w:r w:rsidR="00BC7BF9" w:rsidRPr="00F4568E">
        <w:rPr>
          <w:rFonts w:hint="cs"/>
          <w:b/>
          <w:bCs/>
          <w:color w:val="000000"/>
          <w:sz w:val="24"/>
          <w:rtl/>
        </w:rPr>
        <w:t xml:space="preserve"> </w:t>
      </w:r>
      <w:proofErr w:type="spellStart"/>
      <w:r w:rsidRPr="00F4568E">
        <w:rPr>
          <w:b/>
          <w:bCs/>
          <w:color w:val="000000"/>
          <w:sz w:val="24"/>
          <w:rtl/>
        </w:rPr>
        <w:t>کلیوی</w:t>
      </w:r>
      <w:proofErr w:type="spellEnd"/>
      <w:r w:rsidRPr="00F4568E">
        <w:rPr>
          <w:b/>
          <w:bCs/>
          <w:color w:val="000000"/>
          <w:sz w:val="24"/>
          <w:rtl/>
        </w:rPr>
        <w:t xml:space="preserve">: </w:t>
      </w:r>
      <w:r w:rsidR="00BC7BF9" w:rsidRPr="00F4568E">
        <w:rPr>
          <w:rFonts w:hint="cs"/>
          <w:b/>
          <w:bCs/>
          <w:color w:val="000000"/>
          <w:sz w:val="24"/>
          <w:rtl/>
        </w:rPr>
        <w:t xml:space="preserve">شواهد حاصل از مطالعه </w:t>
      </w:r>
      <w:proofErr w:type="spellStart"/>
      <w:r w:rsidR="00BC7BF9" w:rsidRPr="00F4568E">
        <w:rPr>
          <w:rFonts w:hint="cs"/>
          <w:b/>
          <w:bCs/>
          <w:color w:val="000000"/>
          <w:sz w:val="24"/>
          <w:rtl/>
        </w:rPr>
        <w:t>کوهورت</w:t>
      </w:r>
      <w:proofErr w:type="spellEnd"/>
      <w:r w:rsidR="00BC7BF9" w:rsidRPr="00F4568E">
        <w:rPr>
          <w:rFonts w:hint="cs"/>
          <w:b/>
          <w:bCs/>
          <w:color w:val="000000"/>
          <w:sz w:val="24"/>
          <w:rtl/>
        </w:rPr>
        <w:t xml:space="preserve"> </w:t>
      </w:r>
      <w:r w:rsidR="00FE1A57">
        <w:rPr>
          <w:rFonts w:hint="cs"/>
          <w:b/>
          <w:bCs/>
          <w:color w:val="000000"/>
          <w:sz w:val="24"/>
          <w:rtl/>
        </w:rPr>
        <w:t xml:space="preserve">قند </w:t>
      </w:r>
      <w:proofErr w:type="gramStart"/>
      <w:r w:rsidR="00FE1A57">
        <w:rPr>
          <w:rFonts w:hint="cs"/>
          <w:b/>
          <w:bCs/>
          <w:color w:val="000000"/>
          <w:sz w:val="24"/>
          <w:rtl/>
        </w:rPr>
        <w:t xml:space="preserve">و </w:t>
      </w:r>
      <w:proofErr w:type="spellStart"/>
      <w:r w:rsidR="00FE1A57">
        <w:rPr>
          <w:rFonts w:hint="cs"/>
          <w:b/>
          <w:bCs/>
          <w:color w:val="000000"/>
          <w:sz w:val="24"/>
          <w:rtl/>
        </w:rPr>
        <w:t>لیپید</w:t>
      </w:r>
      <w:proofErr w:type="spellEnd"/>
      <w:proofErr w:type="gramEnd"/>
      <w:r w:rsidR="00FE1A57">
        <w:rPr>
          <w:rFonts w:hint="cs"/>
          <w:b/>
          <w:bCs/>
          <w:color w:val="000000"/>
          <w:sz w:val="24"/>
          <w:rtl/>
        </w:rPr>
        <w:t xml:space="preserve"> تهران </w:t>
      </w:r>
      <w:r w:rsidR="00FE1A57">
        <w:rPr>
          <w:b/>
          <w:bCs/>
          <w:color w:val="000000"/>
          <w:sz w:val="24"/>
        </w:rPr>
        <w:t>TLGS</w:t>
      </w:r>
      <w:r w:rsidR="00FE1A57">
        <w:rPr>
          <w:rFonts w:hint="cs"/>
          <w:b/>
          <w:bCs/>
          <w:color w:val="000000"/>
          <w:sz w:val="24"/>
          <w:rtl/>
          <w:lang w:bidi="fa-IR"/>
        </w:rPr>
        <w:t>.</w:t>
      </w:r>
    </w:p>
    <w:p w:rsidR="00BC7BF9" w:rsidRDefault="00B91B00" w:rsidP="005C0839">
      <w:pPr>
        <w:bidi/>
        <w:spacing w:after="100"/>
        <w:ind w:firstLine="283"/>
        <w:jc w:val="center"/>
        <w:rPr>
          <w:color w:val="000000"/>
          <w:sz w:val="24"/>
          <w:rtl/>
        </w:rPr>
      </w:pPr>
      <w:r>
        <w:rPr>
          <w:color w:val="000000"/>
          <w:sz w:val="24"/>
          <w:rtl/>
        </w:rPr>
        <w:t>انگلیسی:</w:t>
      </w:r>
      <w:r w:rsidR="00BC7BF9">
        <w:rPr>
          <w:color w:val="000000"/>
          <w:sz w:val="24"/>
        </w:rPr>
        <w:br/>
      </w:r>
      <w:r w:rsidR="00BC7BF9" w:rsidRPr="00F4568E">
        <w:rPr>
          <w:b/>
          <w:bCs/>
          <w:color w:val="000000"/>
          <w:sz w:val="24"/>
        </w:rPr>
        <w:t>Association of Adolescent Obesity Phenotypes with Long-Term Renal Trajectories: Evidence from the</w:t>
      </w:r>
      <w:r w:rsidR="00FE1A57">
        <w:rPr>
          <w:b/>
          <w:bCs/>
          <w:color w:val="000000"/>
          <w:sz w:val="24"/>
        </w:rPr>
        <w:t xml:space="preserve"> Tehran Lipid and Glucose Study</w:t>
      </w:r>
      <w:r w:rsidR="00BC7BF9" w:rsidRPr="00F4568E">
        <w:rPr>
          <w:b/>
          <w:bCs/>
          <w:color w:val="000000"/>
          <w:sz w:val="24"/>
        </w:rPr>
        <w:t xml:space="preserve"> </w:t>
      </w:r>
      <w:r w:rsidR="00FE1A57">
        <w:rPr>
          <w:b/>
          <w:bCs/>
          <w:color w:val="000000"/>
          <w:sz w:val="24"/>
        </w:rPr>
        <w:t>(</w:t>
      </w:r>
      <w:r w:rsidR="00BC7BF9" w:rsidRPr="00F4568E">
        <w:rPr>
          <w:b/>
          <w:bCs/>
          <w:color w:val="000000"/>
          <w:sz w:val="24"/>
        </w:rPr>
        <w:t>TLGS</w:t>
      </w:r>
      <w:r w:rsidR="00FE1A57">
        <w:rPr>
          <w:b/>
          <w:bCs/>
          <w:color w:val="000000"/>
          <w:sz w:val="24"/>
        </w:rPr>
        <w:t>)</w:t>
      </w:r>
      <w:r w:rsidR="00BC7BF9" w:rsidRPr="00F4568E">
        <w:rPr>
          <w:b/>
          <w:bCs/>
          <w:color w:val="000000"/>
          <w:sz w:val="24"/>
        </w:rPr>
        <w:t xml:space="preserve"> Cohort.</w:t>
      </w:r>
    </w:p>
    <w:p w:rsidR="00BC7BF9" w:rsidRDefault="00BC7BF9" w:rsidP="005C0839">
      <w:pPr>
        <w:bidi/>
        <w:spacing w:after="100"/>
        <w:ind w:firstLine="283"/>
        <w:jc w:val="center"/>
        <w:rPr>
          <w:color w:val="000000"/>
          <w:sz w:val="24"/>
        </w:rPr>
      </w:pPr>
    </w:p>
    <w:p w:rsidR="002D7383" w:rsidRDefault="00B91B00" w:rsidP="00BC7BF9">
      <w:pPr>
        <w:bidi/>
        <w:spacing w:after="100"/>
        <w:ind w:firstLine="283"/>
        <w:jc w:val="center"/>
      </w:pPr>
      <w:r>
        <w:rPr>
          <w:color w:val="000000"/>
          <w:sz w:val="24"/>
          <w:rtl/>
        </w:rPr>
        <w:t>مجری: دکتر امیرهوشنگ گرامی</w:t>
      </w:r>
    </w:p>
    <w:p w:rsidR="002D7383" w:rsidRDefault="002D7383" w:rsidP="005C0839">
      <w:pPr>
        <w:bidi/>
        <w:spacing w:after="40"/>
        <w:jc w:val="center"/>
      </w:pPr>
    </w:p>
    <w:p w:rsidR="002D7383" w:rsidRPr="00F4568E" w:rsidRDefault="00B91B00" w:rsidP="00F4568E">
      <w:pPr>
        <w:bidi/>
        <w:spacing w:after="80"/>
        <w:jc w:val="center"/>
        <w:rPr>
          <w:bCs/>
        </w:rPr>
      </w:pPr>
      <w:r w:rsidRPr="00E3429B">
        <w:rPr>
          <w:bCs/>
          <w:color w:val="000000"/>
          <w:sz w:val="24"/>
          <w:rtl/>
        </w:rPr>
        <w:t>۲-۲- نوع پروژه:</w:t>
      </w:r>
      <w:r w:rsidR="00F4568E">
        <w:rPr>
          <w:rFonts w:hint="cs"/>
          <w:bCs/>
          <w:rtl/>
          <w:lang w:bidi="fa-IR"/>
        </w:rPr>
        <w:t xml:space="preserve"> </w:t>
      </w:r>
      <w:r>
        <w:rPr>
          <w:color w:val="000000"/>
          <w:sz w:val="24"/>
          <w:rtl/>
        </w:rPr>
        <w:t xml:space="preserve">کاربردی </w:t>
      </w:r>
    </w:p>
    <w:p w:rsidR="002D7383" w:rsidRPr="00E3429B" w:rsidRDefault="00B91B00" w:rsidP="008E1DB5">
      <w:pPr>
        <w:bidi/>
        <w:spacing w:after="80" w:line="360" w:lineRule="auto"/>
        <w:rPr>
          <w:bCs/>
        </w:rPr>
      </w:pPr>
      <w:r w:rsidRPr="00E3429B">
        <w:rPr>
          <w:bCs/>
          <w:color w:val="000000"/>
          <w:sz w:val="24"/>
          <w:rtl/>
        </w:rPr>
        <w:lastRenderedPageBreak/>
        <w:t>۲-۳- خلاصه پروژه:</w:t>
      </w:r>
    </w:p>
    <w:p w:rsidR="002D7383" w:rsidRDefault="00B91B00" w:rsidP="008E1DB5">
      <w:pPr>
        <w:bidi/>
        <w:spacing w:after="100" w:line="360" w:lineRule="auto"/>
        <w:ind w:firstLine="283"/>
      </w:pPr>
      <w:r>
        <w:rPr>
          <w:color w:val="000000"/>
          <w:sz w:val="24"/>
          <w:rtl/>
        </w:rPr>
        <w:t>پیشینه: فنوتیپ‌های چاقی در نوجوانی — به‌ویژه چاقی متابولیک با وزن طبیعی (Metabolically Obese Normal</w:t>
      </w:r>
      <w:r w:rsidR="00885985">
        <w:rPr>
          <w:color w:val="000000"/>
          <w:sz w:val="24"/>
          <w:rtl/>
        </w:rPr>
        <w:t xml:space="preserve"> Weight, MONW) و چاقی متابولیک</w:t>
      </w:r>
      <w:r>
        <w:rPr>
          <w:color w:val="000000"/>
          <w:sz w:val="24"/>
          <w:rtl/>
        </w:rPr>
        <w:t xml:space="preserve"> سالم (Metabolically Healthy Obesity, MHO) — به عنوان دو الگوی متمایز اختلال متابولیک در دوران رشد شناخته شده‌اند. با این حال اثر بلندمدت این دو فنوتیپ بر عملکرد کلیه در کوهورت‌های جمعیتی ایرانی</w:t>
      </w:r>
      <w:r w:rsidR="009D2A0F">
        <w:rPr>
          <w:rFonts w:hint="cs"/>
          <w:color w:val="000000"/>
          <w:sz w:val="24"/>
          <w:rtl/>
        </w:rPr>
        <w:t xml:space="preserve"> با ارزیابی ارتباط این فنوتیپ ها در نوجوانان</w:t>
      </w:r>
      <w:r>
        <w:rPr>
          <w:color w:val="000000"/>
          <w:sz w:val="24"/>
          <w:rtl/>
        </w:rPr>
        <w:t xml:space="preserve"> مطالعه نشده است.</w:t>
      </w:r>
    </w:p>
    <w:p w:rsidR="002D7383" w:rsidRDefault="00B91B00" w:rsidP="008E1DB5">
      <w:pPr>
        <w:bidi/>
        <w:spacing w:after="100" w:line="360" w:lineRule="auto"/>
        <w:ind w:firstLine="283"/>
      </w:pPr>
      <w:r w:rsidRPr="00E3429B">
        <w:rPr>
          <w:b/>
          <w:bCs/>
          <w:color w:val="000000"/>
          <w:sz w:val="24"/>
          <w:rtl/>
        </w:rPr>
        <w:t>هدف</w:t>
      </w:r>
      <w:r>
        <w:rPr>
          <w:color w:val="000000"/>
          <w:sz w:val="24"/>
          <w:rtl/>
        </w:rPr>
        <w:t>: ارتباط فنوتیپ‌های MONW و MHO در نوجوانی (سن &lt; ۲۰ سال) با سیر طولانی‌مدت عملکرد کلیوی در شرکت‌کنندگان کوهورت TLGS.</w:t>
      </w:r>
    </w:p>
    <w:p w:rsidR="00E3429B" w:rsidRDefault="00B91B00" w:rsidP="008E1DB5">
      <w:pPr>
        <w:bidi/>
        <w:spacing w:after="100" w:line="360" w:lineRule="auto"/>
        <w:ind w:firstLine="283"/>
        <w:rPr>
          <w:color w:val="000000"/>
          <w:sz w:val="24"/>
          <w:rtl/>
        </w:rPr>
      </w:pPr>
      <w:r w:rsidRPr="00E3429B">
        <w:rPr>
          <w:b/>
          <w:bCs/>
          <w:color w:val="000000"/>
          <w:sz w:val="24"/>
          <w:rtl/>
        </w:rPr>
        <w:t>روش</w:t>
      </w:r>
      <w:r>
        <w:rPr>
          <w:color w:val="000000"/>
          <w:sz w:val="24"/>
          <w:rtl/>
        </w:rPr>
        <w:t xml:space="preserve">: تحلیل طولی داده‌های آینده‌نگر TLGS. </w:t>
      </w:r>
    </w:p>
    <w:p w:rsidR="00E3429B" w:rsidRDefault="00B91B00" w:rsidP="008E1DB5">
      <w:pPr>
        <w:bidi/>
        <w:spacing w:after="100" w:line="360" w:lineRule="auto"/>
        <w:ind w:firstLine="283"/>
        <w:rPr>
          <w:color w:val="000000"/>
          <w:sz w:val="24"/>
          <w:rtl/>
        </w:rPr>
      </w:pPr>
      <w:r w:rsidRPr="00E3429B">
        <w:rPr>
          <w:b/>
          <w:bCs/>
          <w:color w:val="000000"/>
          <w:sz w:val="24"/>
          <w:rtl/>
        </w:rPr>
        <w:t>جمعیت هدف</w:t>
      </w:r>
      <w:r>
        <w:rPr>
          <w:color w:val="000000"/>
          <w:sz w:val="24"/>
          <w:rtl/>
        </w:rPr>
        <w:t xml:space="preserve">: شرکت‌کنندگان TLGS با سن &lt; ۲۰ سال در هر فازی از مطالعه که در دسته‌بندی MONW یا MHO قرار می‌گیرند. </w:t>
      </w:r>
    </w:p>
    <w:p w:rsidR="0065407A" w:rsidRDefault="00B91B00" w:rsidP="008E1DB5">
      <w:pPr>
        <w:bidi/>
        <w:spacing w:after="100" w:line="360" w:lineRule="auto"/>
        <w:ind w:firstLine="283"/>
        <w:rPr>
          <w:color w:val="000000"/>
          <w:sz w:val="24"/>
        </w:rPr>
      </w:pPr>
      <w:proofErr w:type="spellStart"/>
      <w:r w:rsidRPr="00E3429B">
        <w:rPr>
          <w:b/>
          <w:bCs/>
          <w:color w:val="000000"/>
          <w:sz w:val="24"/>
          <w:rtl/>
        </w:rPr>
        <w:t>پیامد</w:t>
      </w:r>
      <w:proofErr w:type="spellEnd"/>
      <w:r w:rsidRPr="00E3429B">
        <w:rPr>
          <w:b/>
          <w:bCs/>
          <w:color w:val="000000"/>
          <w:sz w:val="24"/>
          <w:rtl/>
        </w:rPr>
        <w:t xml:space="preserve"> </w:t>
      </w:r>
      <w:proofErr w:type="spellStart"/>
      <w:r w:rsidRPr="00E3429B">
        <w:rPr>
          <w:b/>
          <w:bCs/>
          <w:color w:val="000000"/>
          <w:sz w:val="24"/>
          <w:rtl/>
        </w:rPr>
        <w:t>اصلی</w:t>
      </w:r>
      <w:proofErr w:type="spellEnd"/>
      <w:r w:rsidRPr="00E3429B">
        <w:rPr>
          <w:b/>
          <w:bCs/>
          <w:color w:val="000000"/>
          <w:sz w:val="24"/>
          <w:rtl/>
        </w:rPr>
        <w:t>:</w:t>
      </w:r>
      <w:r>
        <w:rPr>
          <w:color w:val="000000"/>
          <w:sz w:val="24"/>
          <w:rtl/>
        </w:rPr>
        <w:t xml:space="preserve"> </w:t>
      </w:r>
      <w:proofErr w:type="spellStart"/>
      <w:r>
        <w:rPr>
          <w:color w:val="000000"/>
          <w:sz w:val="24"/>
          <w:rtl/>
        </w:rPr>
        <w:t>سیر</w:t>
      </w:r>
      <w:proofErr w:type="spellEnd"/>
      <w:r>
        <w:rPr>
          <w:color w:val="000000"/>
          <w:sz w:val="24"/>
          <w:rtl/>
        </w:rPr>
        <w:t xml:space="preserve"> </w:t>
      </w:r>
      <w:proofErr w:type="spellStart"/>
      <w:r>
        <w:rPr>
          <w:color w:val="000000"/>
          <w:sz w:val="24"/>
          <w:rtl/>
        </w:rPr>
        <w:t>عملکرد</w:t>
      </w:r>
      <w:proofErr w:type="spellEnd"/>
      <w:r>
        <w:rPr>
          <w:color w:val="000000"/>
          <w:sz w:val="24"/>
          <w:rtl/>
        </w:rPr>
        <w:t xml:space="preserve"> </w:t>
      </w:r>
      <w:proofErr w:type="spellStart"/>
      <w:r>
        <w:rPr>
          <w:color w:val="000000"/>
          <w:sz w:val="24"/>
          <w:rtl/>
        </w:rPr>
        <w:t>کلیه</w:t>
      </w:r>
      <w:proofErr w:type="spellEnd"/>
      <w:r>
        <w:rPr>
          <w:color w:val="000000"/>
          <w:sz w:val="24"/>
          <w:rtl/>
        </w:rPr>
        <w:t xml:space="preserve"> بر اساس </w:t>
      </w:r>
      <w:proofErr w:type="spellStart"/>
      <w:r>
        <w:rPr>
          <w:color w:val="000000"/>
          <w:sz w:val="24"/>
          <w:rtl/>
        </w:rPr>
        <w:t>تغییرات</w:t>
      </w:r>
      <w:proofErr w:type="spellEnd"/>
      <w:r>
        <w:rPr>
          <w:color w:val="000000"/>
          <w:sz w:val="24"/>
          <w:rtl/>
        </w:rPr>
        <w:t xml:space="preserve"> </w:t>
      </w:r>
      <w:r w:rsidR="0065407A">
        <w:rPr>
          <w:color w:val="000000"/>
          <w:sz w:val="24"/>
        </w:rPr>
        <w:t>eGFR</w:t>
      </w:r>
      <w:r>
        <w:rPr>
          <w:color w:val="000000"/>
          <w:sz w:val="24"/>
          <w:rtl/>
        </w:rPr>
        <w:t xml:space="preserve"> در طول </w:t>
      </w:r>
      <w:proofErr w:type="spellStart"/>
      <w:r>
        <w:rPr>
          <w:color w:val="000000"/>
          <w:sz w:val="24"/>
          <w:rtl/>
        </w:rPr>
        <w:t>پیگیری</w:t>
      </w:r>
      <w:proofErr w:type="spellEnd"/>
      <w:r>
        <w:rPr>
          <w:color w:val="000000"/>
          <w:sz w:val="24"/>
          <w:rtl/>
        </w:rPr>
        <w:t xml:space="preserve"> </w:t>
      </w:r>
      <w:proofErr w:type="spellStart"/>
      <w:r>
        <w:rPr>
          <w:color w:val="000000"/>
          <w:sz w:val="24"/>
          <w:rtl/>
        </w:rPr>
        <w:t>طولانی‌مدت</w:t>
      </w:r>
      <w:proofErr w:type="spellEnd"/>
      <w:r>
        <w:rPr>
          <w:color w:val="000000"/>
          <w:sz w:val="24"/>
          <w:rtl/>
        </w:rPr>
        <w:t xml:space="preserve">، شامل بروز CKD، </w:t>
      </w:r>
      <w:proofErr w:type="spellStart"/>
      <w:r>
        <w:rPr>
          <w:color w:val="000000"/>
          <w:sz w:val="24"/>
          <w:rtl/>
        </w:rPr>
        <w:t>slope</w:t>
      </w:r>
      <w:proofErr w:type="spellEnd"/>
      <w:r>
        <w:rPr>
          <w:color w:val="000000"/>
          <w:sz w:val="24"/>
          <w:rtl/>
        </w:rPr>
        <w:t xml:space="preserve"> </w:t>
      </w:r>
      <w:proofErr w:type="spellStart"/>
      <w:r>
        <w:rPr>
          <w:color w:val="000000"/>
          <w:sz w:val="24"/>
          <w:rtl/>
        </w:rPr>
        <w:t>of</w:t>
      </w:r>
      <w:proofErr w:type="spellEnd"/>
      <w:r>
        <w:rPr>
          <w:color w:val="000000"/>
          <w:sz w:val="24"/>
          <w:rtl/>
        </w:rPr>
        <w:t xml:space="preserve"> </w:t>
      </w:r>
      <w:proofErr w:type="spellStart"/>
      <w:r>
        <w:rPr>
          <w:color w:val="000000"/>
          <w:sz w:val="24"/>
          <w:rtl/>
        </w:rPr>
        <w:t>eGFR</w:t>
      </w:r>
      <w:proofErr w:type="spellEnd"/>
      <w:r>
        <w:rPr>
          <w:color w:val="000000"/>
          <w:sz w:val="24"/>
          <w:rtl/>
        </w:rPr>
        <w:t xml:space="preserve"> و </w:t>
      </w:r>
      <w:proofErr w:type="spellStart"/>
      <w:r>
        <w:rPr>
          <w:color w:val="000000"/>
          <w:sz w:val="24"/>
          <w:rtl/>
        </w:rPr>
        <w:t>کاهش</w:t>
      </w:r>
      <w:proofErr w:type="spellEnd"/>
      <w:r>
        <w:rPr>
          <w:color w:val="000000"/>
          <w:sz w:val="24"/>
          <w:rtl/>
        </w:rPr>
        <w:t xml:space="preserve"> </w:t>
      </w:r>
      <w:proofErr w:type="spellStart"/>
      <w:r>
        <w:rPr>
          <w:color w:val="000000"/>
          <w:sz w:val="24"/>
          <w:rtl/>
        </w:rPr>
        <w:t>سریع</w:t>
      </w:r>
      <w:proofErr w:type="spellEnd"/>
      <w:r>
        <w:rPr>
          <w:color w:val="000000"/>
          <w:sz w:val="24"/>
          <w:rtl/>
        </w:rPr>
        <w:t xml:space="preserve"> </w:t>
      </w:r>
      <w:proofErr w:type="spellStart"/>
      <w:r>
        <w:rPr>
          <w:color w:val="000000"/>
          <w:sz w:val="24"/>
          <w:rtl/>
        </w:rPr>
        <w:t>عملکرد</w:t>
      </w:r>
      <w:proofErr w:type="spellEnd"/>
      <w:r>
        <w:rPr>
          <w:color w:val="000000"/>
          <w:sz w:val="24"/>
          <w:rtl/>
        </w:rPr>
        <w:t xml:space="preserve"> </w:t>
      </w:r>
      <w:proofErr w:type="spellStart"/>
      <w:r>
        <w:rPr>
          <w:color w:val="000000"/>
          <w:sz w:val="24"/>
          <w:rtl/>
        </w:rPr>
        <w:t>کلیه</w:t>
      </w:r>
      <w:proofErr w:type="spellEnd"/>
      <w:r>
        <w:rPr>
          <w:color w:val="000000"/>
          <w:sz w:val="24"/>
          <w:rtl/>
        </w:rPr>
        <w:t xml:space="preserve">. </w:t>
      </w:r>
    </w:p>
    <w:p w:rsidR="0065407A" w:rsidRDefault="00B91B00" w:rsidP="008E1DB5">
      <w:pPr>
        <w:bidi/>
        <w:spacing w:after="100" w:line="360" w:lineRule="auto"/>
        <w:ind w:firstLine="283"/>
        <w:rPr>
          <w:color w:val="000000"/>
          <w:sz w:val="24"/>
        </w:rPr>
      </w:pPr>
      <w:r w:rsidRPr="0065407A">
        <w:rPr>
          <w:b/>
          <w:bCs/>
          <w:color w:val="000000"/>
          <w:sz w:val="24"/>
          <w:rtl/>
        </w:rPr>
        <w:t>گروه مرجع:</w:t>
      </w:r>
      <w:r w:rsidR="0065407A">
        <w:rPr>
          <w:color w:val="000000"/>
          <w:sz w:val="24"/>
          <w:rtl/>
        </w:rPr>
        <w:t xml:space="preserve"> نوجوانان متابولیک</w:t>
      </w:r>
      <w:r>
        <w:rPr>
          <w:color w:val="000000"/>
          <w:sz w:val="24"/>
          <w:rtl/>
        </w:rPr>
        <w:t xml:space="preserve"> سالم با وزن طبیعی (MHNW). </w:t>
      </w:r>
    </w:p>
    <w:p w:rsidR="002D7383" w:rsidRDefault="00B91B00" w:rsidP="008E1DB5">
      <w:pPr>
        <w:bidi/>
        <w:spacing w:after="100" w:line="360" w:lineRule="auto"/>
        <w:ind w:firstLine="283"/>
      </w:pPr>
      <w:r w:rsidRPr="0065407A">
        <w:rPr>
          <w:b/>
          <w:bCs/>
          <w:color w:val="000000"/>
          <w:sz w:val="24"/>
          <w:rtl/>
        </w:rPr>
        <w:t>روش آماری:</w:t>
      </w:r>
      <w:r>
        <w:rPr>
          <w:color w:val="000000"/>
          <w:sz w:val="24"/>
          <w:rtl/>
        </w:rPr>
        <w:t xml:space="preserve"> مدل خطی اثرات مختلط (Linear Mixed-Effects Model) و رگرسیون Cox.</w:t>
      </w:r>
    </w:p>
    <w:p w:rsidR="002D7383" w:rsidRDefault="00B91B00" w:rsidP="008E1DB5">
      <w:pPr>
        <w:bidi/>
        <w:spacing w:after="100" w:line="360" w:lineRule="auto"/>
        <w:ind w:firstLine="283"/>
      </w:pPr>
      <w:r w:rsidRPr="0065407A">
        <w:rPr>
          <w:b/>
          <w:bCs/>
          <w:color w:val="000000"/>
          <w:sz w:val="24"/>
          <w:rtl/>
        </w:rPr>
        <w:t>واژگان کلیدی:</w:t>
      </w:r>
      <w:r>
        <w:rPr>
          <w:color w:val="000000"/>
          <w:sz w:val="24"/>
          <w:rtl/>
        </w:rPr>
        <w:t xml:space="preserve"> فنوتیپ چاقی، MONW، MHO، نوجوانی، سیر عملکرد کلیه، eGFR، بیماری مزمن کلیه، کوهورت TLGS</w:t>
      </w:r>
    </w:p>
    <w:p w:rsidR="002D7383" w:rsidRPr="0065407A" w:rsidRDefault="00B91B00" w:rsidP="008E1DB5">
      <w:pPr>
        <w:bidi/>
        <w:spacing w:after="80" w:line="360" w:lineRule="auto"/>
        <w:rPr>
          <w:bCs/>
        </w:rPr>
      </w:pPr>
      <w:r w:rsidRPr="0065407A">
        <w:rPr>
          <w:bCs/>
          <w:color w:val="000000"/>
          <w:sz w:val="24"/>
          <w:rtl/>
        </w:rPr>
        <w:t>۲-۴- دلایل انتخاب موضوع:</w:t>
      </w:r>
    </w:p>
    <w:p w:rsidR="002D7383" w:rsidRDefault="00B91B00" w:rsidP="008E1DB5">
      <w:pPr>
        <w:bidi/>
        <w:spacing w:after="100" w:line="360" w:lineRule="auto"/>
        <w:ind w:firstLine="283"/>
      </w:pPr>
      <w:r>
        <w:rPr>
          <w:color w:val="000000"/>
          <w:sz w:val="24"/>
          <w:rtl/>
        </w:rPr>
        <w:t>۱. شیوع فزاینده اختلالات متابولیک در نوجوانان ایرانی: داده‌های TLGS نشان می‌دهند که فنوتیپ‌های ناسالم متابولیک از اوایل زندگی شکل می‌گیرند، اما پیامد کلیوی بلندمدت آن‌ها در جمعیت ایرانی ارزیابی نشده است.</w:t>
      </w:r>
    </w:p>
    <w:p w:rsidR="002D7383" w:rsidRDefault="00B91B00" w:rsidP="008E1DB5">
      <w:pPr>
        <w:bidi/>
        <w:spacing w:after="100" w:line="360" w:lineRule="auto"/>
        <w:ind w:firstLine="283"/>
      </w:pPr>
      <w:r>
        <w:rPr>
          <w:color w:val="000000"/>
          <w:sz w:val="24"/>
          <w:rtl/>
        </w:rPr>
        <w:t>۲. تمایز بالینی MONW و MHO: این دو فنوتیپ از نظر فیزیوپاتولوژی متفاوت‌اند. MONW با مقاومت انسولینی در وزن طبیعی، و MHO با ذخیره چربی بالا در غیاب اختلال متابولیک همراه است. بررسی اینکه کدام برای کلیه مضرتر است، اهمیت بالینی مستقیم دارد.</w:t>
      </w:r>
    </w:p>
    <w:p w:rsidR="002D7383" w:rsidRDefault="00B91B00" w:rsidP="008E1DB5">
      <w:pPr>
        <w:bidi/>
        <w:spacing w:after="100" w:line="360" w:lineRule="auto"/>
        <w:ind w:firstLine="283"/>
      </w:pPr>
      <w:r>
        <w:rPr>
          <w:color w:val="000000"/>
          <w:sz w:val="24"/>
          <w:rtl/>
        </w:rPr>
        <w:t>۳. پنجره مداخله: نوجوانی یک پنجره حساس برای شکل‌گیری فنوتیپ متابولیک است. شناسایی فنوتیپ پرخطر در این سن می‌تواند پایه‌ای برای مداخلات پیشگیرانه فراهم کند.</w:t>
      </w:r>
    </w:p>
    <w:p w:rsidR="002D7383" w:rsidRDefault="00B91B00" w:rsidP="008E1DB5">
      <w:pPr>
        <w:bidi/>
        <w:spacing w:after="100" w:line="360" w:lineRule="auto"/>
        <w:ind w:firstLine="283"/>
      </w:pPr>
      <w:r>
        <w:rPr>
          <w:color w:val="000000"/>
          <w:sz w:val="24"/>
          <w:rtl/>
        </w:rPr>
        <w:t>۴. خلأ علمی روشن: در مرور ادبیات، مطالعه‌ای که به طور اختصاصی فنوتیپ MONW یا MHO نوجوانی را با renal trajectory طولانی‌مدت در کوهورت ایرانی مرتبط سازد، یافت نشد.</w:t>
      </w:r>
    </w:p>
    <w:p w:rsidR="002D7383" w:rsidRDefault="00B91B00" w:rsidP="008E1DB5">
      <w:pPr>
        <w:bidi/>
        <w:spacing w:after="100" w:line="360" w:lineRule="auto"/>
        <w:ind w:firstLine="283"/>
        <w:rPr>
          <w:color w:val="000000"/>
          <w:sz w:val="24"/>
          <w:rtl/>
        </w:rPr>
      </w:pPr>
      <w:r>
        <w:rPr>
          <w:color w:val="000000"/>
          <w:sz w:val="24"/>
          <w:rtl/>
        </w:rPr>
        <w:t>۵. ظرفیت منحصربه‌فرد TLGS: این کوهورت با بیش از ۲۵ سال پیگیری، امکان بررسی پیامدهای کلیوی از نوجوانی تا بزرگسالی میانی را فراهم می‌کند.</w:t>
      </w:r>
    </w:p>
    <w:p w:rsidR="00B91B00" w:rsidRDefault="00B91B00" w:rsidP="00B91B00">
      <w:pPr>
        <w:bidi/>
        <w:spacing w:after="100" w:line="360" w:lineRule="auto"/>
        <w:rPr>
          <w:color w:val="000000"/>
          <w:sz w:val="24"/>
          <w:rtl/>
        </w:rPr>
      </w:pPr>
    </w:p>
    <w:p w:rsidR="00B91B00" w:rsidRDefault="00B91B00" w:rsidP="00B91B00">
      <w:pPr>
        <w:bidi/>
        <w:spacing w:after="100" w:line="360" w:lineRule="auto"/>
      </w:pPr>
    </w:p>
    <w:p w:rsidR="002D7383" w:rsidRPr="00B52E62" w:rsidRDefault="00B91B00" w:rsidP="008E1DB5">
      <w:pPr>
        <w:bidi/>
        <w:spacing w:before="200" w:after="80" w:line="360" w:lineRule="auto"/>
        <w:rPr>
          <w:bCs/>
        </w:rPr>
      </w:pPr>
      <w:r w:rsidRPr="00B52E62">
        <w:rPr>
          <w:bCs/>
          <w:color w:val="1F497D"/>
          <w:sz w:val="28"/>
          <w:rtl/>
        </w:rPr>
        <w:lastRenderedPageBreak/>
        <w:t>۲-۵- بیان مسئله (Problem Statement):</w:t>
      </w:r>
    </w:p>
    <w:p w:rsidR="002D7383" w:rsidRDefault="00B91B00" w:rsidP="008E1DB5">
      <w:pPr>
        <w:bidi/>
        <w:spacing w:after="100" w:line="360" w:lineRule="auto"/>
        <w:ind w:firstLine="283"/>
      </w:pPr>
      <w:r>
        <w:rPr>
          <w:color w:val="000000"/>
          <w:sz w:val="24"/>
          <w:rtl/>
        </w:rPr>
        <w:t>بیماری مزمن کلیه (CKD) یکی از بیماری‌های غیرواگیر با شیوع فزاینده در جهان و ایران است که ریشه‌های آن اغلب در دوران کودکی و نوجوانی قرار دارد. در مطالعه کوهورت TLGS، شیوع CKD در بزرگسالان تهرانی بر اساس معادله CKD-EPI حدود ۸.۵٪ گزارش شده است. با توجه به این‌که فرآیندهای متابولیک پاتولوژیک معمولاً از دهه‌های اول زندگی آغاز می‌شوند، شناخت الگوهای متابولیک در نوجوانی و اثر بلندمدت آن‌ها بر کلیه اهمیت پیشگیرانه بالایی دارد.</w:t>
      </w:r>
    </w:p>
    <w:p w:rsidR="002D7383" w:rsidRDefault="00B91B00" w:rsidP="008E1DB5">
      <w:pPr>
        <w:bidi/>
        <w:spacing w:after="100" w:line="360" w:lineRule="auto"/>
        <w:ind w:firstLine="283"/>
      </w:pPr>
      <w:r>
        <w:rPr>
          <w:color w:val="000000"/>
          <w:sz w:val="24"/>
          <w:rtl/>
        </w:rPr>
        <w:t>در میان اختلالات متابولیک نوجوانی، دو فنوتیپ کمتر شناخته‌شده اهمیت ویژه‌ای دارند: چاقی متابولیک با وزن طبیعی (MONW) و چاقی متابولیکاً سالم (MHO). MONW به وضعیتی اطلاق می‌شود که در آن نوجوان با وجود BMI طبیعی (۱۸.۵–۲۴.۹)، دچار اختلالات متابولیک از قبیل مقاومت انسولینی، دیس‌لیپیدمی یا پیش‌دیابت است. در مقابل، MHO به وضعیتی گفته می‌شود که در آن نوجوان علی‌رغم BMI ≥ ۳۰، از نظر پروفایل متابولیک سالم است.</w:t>
      </w:r>
    </w:p>
    <w:p w:rsidR="002D7383" w:rsidRDefault="00B91B00" w:rsidP="008E1DB5">
      <w:pPr>
        <w:bidi/>
        <w:spacing w:after="100" w:line="360" w:lineRule="auto"/>
        <w:ind w:firstLine="283"/>
      </w:pPr>
      <w:r>
        <w:rPr>
          <w:color w:val="000000"/>
          <w:sz w:val="24"/>
          <w:rtl/>
        </w:rPr>
        <w:t>اهمیت این تمایز از دیدگاه کلیوی در آن است که اختلالات متابولیک — نه لزوماً توده چربی بالا — ممکن است عامل اصلی آسیب کلیوی باشند. یک متاآنالیز بر روی ۱۲۸۷۷۳ فرد نشان داد که افراد با چاقی متابولیکاً ناسالم (MUHO) بالاترین خطر CKD را داشتند (RR=2.13)، در حالی که افراد MHO نیز خطر افزایش‌یافته‌ای نسبت به گروه طبیعی داشتند (RR=1.55). این یافته‌ها نشان می‌دهند که «کیفیت» چاقی مهم‌تر از «کمیت» آن است.</w:t>
      </w:r>
    </w:p>
    <w:p w:rsidR="002D7383" w:rsidRDefault="00B91B00" w:rsidP="008E1DB5">
      <w:pPr>
        <w:bidi/>
        <w:spacing w:after="100" w:line="360" w:lineRule="auto"/>
        <w:ind w:firstLine="283"/>
      </w:pPr>
      <w:r>
        <w:rPr>
          <w:color w:val="000000"/>
          <w:sz w:val="24"/>
          <w:rtl/>
        </w:rPr>
        <w:t>اما سؤال اساسی که در ادبیات علمی به آن پرداخته نشده این است: کدام فنوتیپ در نوجوانی برای عملکرد کلیوی بلندمدت مضرتر است — MONW (متابولیک ناسالم با وزن طبیعی) یا MHO (چاق اما متابولیکاً سالم)؟ آیا آسیب متابولیک زودرس در نوجوانی (MONW) حتی با وزن طبیعی می‌تواند پیشگو مناسبی برای decline کلیوی در دهه‌های بعد باشد؟</w:t>
      </w:r>
    </w:p>
    <w:p w:rsidR="002D7383" w:rsidRDefault="00B91B00" w:rsidP="008E1DB5">
      <w:pPr>
        <w:bidi/>
        <w:spacing w:after="100" w:line="360" w:lineRule="auto"/>
        <w:ind w:firstLine="283"/>
        <w:rPr>
          <w:color w:val="000000"/>
          <w:sz w:val="24"/>
          <w:rtl/>
        </w:rPr>
      </w:pPr>
      <w:r>
        <w:rPr>
          <w:color w:val="000000"/>
          <w:sz w:val="24"/>
          <w:rtl/>
        </w:rPr>
        <w:t>کوهورت TLGS با پیگیری بیش از ۲۵ ساله و اندازه‌گیری‌های مکرر متابولیک و کلیوی، یک فرصت منحصربه‌فرد جهانی برای پاسخ به این سؤال فراهم می‌سازد. پژوهش حاضر با تمرکز بر شرکت‌کنندگانی که در هر فاز TLGS سن زیر ۲۰ سال داشته‌اند، برای اولین بار ارتباط فنوتیپ چاقی نوجوانی را با سیر طولانی‌مدت عملکرد کلیوی در جمعیت ایرانی بررسی خواهد کرد.</w:t>
      </w: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pPr>
    </w:p>
    <w:p w:rsidR="002D7383" w:rsidRPr="00B52E62" w:rsidRDefault="00B91B00" w:rsidP="008E1DB5">
      <w:pPr>
        <w:bidi/>
        <w:spacing w:before="200" w:after="80" w:line="360" w:lineRule="auto"/>
        <w:rPr>
          <w:bCs/>
        </w:rPr>
      </w:pPr>
      <w:r w:rsidRPr="00B52E62">
        <w:rPr>
          <w:bCs/>
          <w:color w:val="1F497D"/>
          <w:sz w:val="28"/>
          <w:rtl/>
        </w:rPr>
        <w:lastRenderedPageBreak/>
        <w:t>۲-۶- تعاریف عملیاتی مفاهیم اصلی:</w:t>
      </w:r>
    </w:p>
    <w:p w:rsidR="002D7383" w:rsidRDefault="00B91B00" w:rsidP="008E1DB5">
      <w:pPr>
        <w:bidi/>
        <w:spacing w:after="80" w:line="360" w:lineRule="auto"/>
      </w:pPr>
      <w:r>
        <w:rPr>
          <w:b/>
          <w:color w:val="000000"/>
          <w:sz w:val="24"/>
          <w:rtl/>
        </w:rPr>
        <w:t>نوجوانی:</w:t>
      </w:r>
    </w:p>
    <w:p w:rsidR="002D7383" w:rsidRDefault="00B91B00" w:rsidP="008E1DB5">
      <w:pPr>
        <w:bidi/>
        <w:spacing w:after="100" w:line="360" w:lineRule="auto"/>
        <w:ind w:firstLine="283"/>
      </w:pPr>
      <w:r>
        <w:rPr>
          <w:color w:val="000000"/>
          <w:sz w:val="24"/>
          <w:rtl/>
        </w:rPr>
        <w:t>سن &lt; ۲۰ سال</w:t>
      </w:r>
      <w:r w:rsidR="004E543E">
        <w:rPr>
          <w:rFonts w:hint="cs"/>
          <w:color w:val="000000"/>
          <w:sz w:val="24"/>
          <w:rtl/>
        </w:rPr>
        <w:t xml:space="preserve"> ( بر </w:t>
      </w:r>
      <w:r w:rsidR="004E543E">
        <w:rPr>
          <w:rFonts w:hint="eastAsia"/>
          <w:color w:val="000000"/>
          <w:sz w:val="24"/>
          <w:rtl/>
        </w:rPr>
        <w:t>أساس</w:t>
      </w:r>
      <w:r w:rsidR="004E543E">
        <w:rPr>
          <w:rFonts w:hint="cs"/>
          <w:color w:val="000000"/>
          <w:sz w:val="24"/>
          <w:rtl/>
        </w:rPr>
        <w:t xml:space="preserve"> </w:t>
      </w:r>
      <w:proofErr w:type="spellStart"/>
      <w:r w:rsidR="004E543E">
        <w:rPr>
          <w:rFonts w:hint="cs"/>
          <w:color w:val="000000"/>
          <w:sz w:val="24"/>
          <w:rtl/>
        </w:rPr>
        <w:t>تعریف</w:t>
      </w:r>
      <w:proofErr w:type="spellEnd"/>
      <w:r w:rsidR="004E543E">
        <w:rPr>
          <w:rFonts w:hint="cs"/>
          <w:color w:val="000000"/>
          <w:sz w:val="24"/>
          <w:rtl/>
        </w:rPr>
        <w:t xml:space="preserve"> </w:t>
      </w:r>
      <w:r w:rsidR="004E543E">
        <w:rPr>
          <w:color w:val="000000"/>
          <w:sz w:val="24"/>
        </w:rPr>
        <w:t>WHO</w:t>
      </w:r>
      <w:r w:rsidR="004E543E">
        <w:rPr>
          <w:rFonts w:hint="cs"/>
          <w:color w:val="000000"/>
          <w:sz w:val="24"/>
          <w:rtl/>
          <w:lang w:bidi="fa-IR"/>
        </w:rPr>
        <w:t>)</w:t>
      </w:r>
      <w:r>
        <w:rPr>
          <w:color w:val="000000"/>
          <w:sz w:val="24"/>
          <w:rtl/>
        </w:rPr>
        <w:t xml:space="preserve"> در هر فاز از مطالعه TLGS. شرکت‌کنندگانی که در فازهای مختلف این شرط سنی را داشته باشند وارد مطالعه می‌شوند.</w:t>
      </w:r>
    </w:p>
    <w:p w:rsidR="002D7383" w:rsidRDefault="00B91B00" w:rsidP="008E1DB5">
      <w:pPr>
        <w:bidi/>
        <w:spacing w:after="80" w:line="360" w:lineRule="auto"/>
      </w:pPr>
      <w:r>
        <w:rPr>
          <w:b/>
          <w:color w:val="000000"/>
          <w:sz w:val="24"/>
          <w:rtl/>
        </w:rPr>
        <w:t>چاقی متابولیک با وزن طبیعی — MONW (Metabolically Obese Normal Weight):</w:t>
      </w:r>
    </w:p>
    <w:p w:rsidR="002D7383" w:rsidRDefault="00B91B00" w:rsidP="008E1DB5">
      <w:pPr>
        <w:bidi/>
        <w:spacing w:after="100" w:line="360" w:lineRule="auto"/>
        <w:ind w:firstLine="283"/>
      </w:pPr>
      <w:r>
        <w:rPr>
          <w:color w:val="000000"/>
          <w:sz w:val="24"/>
          <w:rtl/>
        </w:rPr>
        <w:t xml:space="preserve">BMI در محدوده ۱۸.۵–۲۴.۹ kg/m² همراه با وجود ≥ ۲ معیار از معیارهای سندرم متابولیک (بر اساس تعریف مورد استفاده در TLGS که پس از هماهنگی با پژوهشکده نهایی می‌شود). </w:t>
      </w:r>
    </w:p>
    <w:p w:rsidR="002D7383" w:rsidRDefault="009F2486" w:rsidP="008E1DB5">
      <w:pPr>
        <w:bidi/>
        <w:spacing w:after="80" w:line="360" w:lineRule="auto"/>
      </w:pPr>
      <w:r>
        <w:rPr>
          <w:b/>
          <w:color w:val="000000"/>
          <w:sz w:val="24"/>
          <w:rtl/>
        </w:rPr>
        <w:t>چاقی متابولیک</w:t>
      </w:r>
      <w:r w:rsidR="00B91B00">
        <w:rPr>
          <w:b/>
          <w:color w:val="000000"/>
          <w:sz w:val="24"/>
          <w:rtl/>
        </w:rPr>
        <w:t xml:space="preserve"> سالم — MHO (Metabolically Healthy Obesity):</w:t>
      </w:r>
    </w:p>
    <w:p w:rsidR="002D7383" w:rsidRDefault="00B91B00" w:rsidP="008E1DB5">
      <w:pPr>
        <w:bidi/>
        <w:spacing w:after="100" w:line="360" w:lineRule="auto"/>
        <w:ind w:firstLine="283"/>
      </w:pPr>
      <w:r>
        <w:rPr>
          <w:color w:val="000000"/>
          <w:sz w:val="24"/>
          <w:rtl/>
        </w:rPr>
        <w:t xml:space="preserve">BMI ≥ ۳۰ kg/m² همراه با وجود کمتر از ۲ معیار از معیارهای سندرم متابولیک. </w:t>
      </w:r>
    </w:p>
    <w:p w:rsidR="002D7383" w:rsidRDefault="00B91B00" w:rsidP="008E1DB5">
      <w:pPr>
        <w:bidi/>
        <w:spacing w:after="80" w:line="360" w:lineRule="auto"/>
      </w:pPr>
      <w:r>
        <w:rPr>
          <w:b/>
          <w:color w:val="000000"/>
          <w:sz w:val="24"/>
          <w:rtl/>
        </w:rPr>
        <w:t>گروه مرجع — MHNW (Metabolically Healthy Normal Weight):</w:t>
      </w:r>
    </w:p>
    <w:p w:rsidR="002D7383" w:rsidRDefault="00B91B00" w:rsidP="008E1DB5">
      <w:pPr>
        <w:bidi/>
        <w:spacing w:after="100" w:line="360" w:lineRule="auto"/>
        <w:ind w:firstLine="283"/>
      </w:pPr>
      <w:r>
        <w:rPr>
          <w:color w:val="000000"/>
          <w:sz w:val="24"/>
          <w:rtl/>
        </w:rPr>
        <w:t>BMI در محدوده ۱۸.۵–۲۴.۹ kg/m² با کمتر از ۲ معیار سندرم متابولیک. این گروه به عنوان مرجع در مقایسه‌های آماری استفاده می‌شود.</w:t>
      </w:r>
    </w:p>
    <w:p w:rsidR="002D7383" w:rsidRDefault="00B91B00" w:rsidP="008E1DB5">
      <w:pPr>
        <w:bidi/>
        <w:spacing w:after="80" w:line="360" w:lineRule="auto"/>
      </w:pPr>
      <w:r>
        <w:rPr>
          <w:b/>
          <w:color w:val="000000"/>
          <w:sz w:val="24"/>
          <w:rtl/>
        </w:rPr>
        <w:t>سیر عملکرد کلیوی (Renal Trajectory):</w:t>
      </w:r>
    </w:p>
    <w:p w:rsidR="002D7383" w:rsidRDefault="00B91B00" w:rsidP="008E1DB5">
      <w:pPr>
        <w:bidi/>
        <w:spacing w:after="100" w:line="360" w:lineRule="auto"/>
        <w:ind w:firstLine="283"/>
      </w:pPr>
      <w:r>
        <w:rPr>
          <w:color w:val="000000"/>
          <w:sz w:val="24"/>
          <w:rtl/>
        </w:rPr>
        <w:t>الگوی تغییر eGFR در طول دوره پیگیری TLGS. شامل: (الف) slope of eGFR: نرخ تغییر سالانه eGFR (mL/min/1.73m²/سال) — پیوسته؛ (ب) بروز CKD: اولین اندازه‌گیری eGFR &lt; 60 تأییدشده در ≥ ۲ ویزیت؛ (ج) کاهش سریع: کاهش ≥ ۳۰٪ eGFR از baseline.</w:t>
      </w:r>
    </w:p>
    <w:p w:rsidR="002D7383" w:rsidRDefault="00B91B00" w:rsidP="008E1DB5">
      <w:pPr>
        <w:bidi/>
        <w:spacing w:after="80" w:line="360" w:lineRule="auto"/>
      </w:pPr>
      <w:r>
        <w:rPr>
          <w:b/>
          <w:color w:val="000000"/>
          <w:sz w:val="24"/>
          <w:rtl/>
        </w:rPr>
        <w:t>eGFR:</w:t>
      </w:r>
    </w:p>
    <w:p w:rsidR="002D7383" w:rsidRDefault="00B91B00" w:rsidP="008E1DB5">
      <w:pPr>
        <w:bidi/>
        <w:spacing w:after="100" w:line="360" w:lineRule="auto"/>
        <w:ind w:firstLine="283"/>
      </w:pPr>
      <w:r>
        <w:rPr>
          <w:color w:val="000000"/>
          <w:sz w:val="24"/>
          <w:rtl/>
        </w:rPr>
        <w:t xml:space="preserve">نرخ </w:t>
      </w:r>
      <w:proofErr w:type="spellStart"/>
      <w:r>
        <w:rPr>
          <w:color w:val="000000"/>
          <w:sz w:val="24"/>
          <w:rtl/>
        </w:rPr>
        <w:t>فیلتراسیون</w:t>
      </w:r>
      <w:proofErr w:type="spellEnd"/>
      <w:r>
        <w:rPr>
          <w:color w:val="000000"/>
          <w:sz w:val="24"/>
          <w:rtl/>
        </w:rPr>
        <w:t xml:space="preserve"> </w:t>
      </w:r>
      <w:proofErr w:type="spellStart"/>
      <w:r>
        <w:rPr>
          <w:color w:val="000000"/>
          <w:sz w:val="24"/>
          <w:rtl/>
        </w:rPr>
        <w:t>گلومرولی</w:t>
      </w:r>
      <w:proofErr w:type="spellEnd"/>
      <w:r>
        <w:rPr>
          <w:color w:val="000000"/>
          <w:sz w:val="24"/>
          <w:rtl/>
        </w:rPr>
        <w:t xml:space="preserve"> </w:t>
      </w:r>
      <w:proofErr w:type="spellStart"/>
      <w:r>
        <w:rPr>
          <w:color w:val="000000"/>
          <w:sz w:val="24"/>
          <w:rtl/>
        </w:rPr>
        <w:t>تخمینی</w:t>
      </w:r>
      <w:proofErr w:type="spellEnd"/>
      <w:r>
        <w:rPr>
          <w:color w:val="000000"/>
          <w:sz w:val="24"/>
          <w:rtl/>
        </w:rPr>
        <w:t xml:space="preserve"> بر اساس معادله</w:t>
      </w:r>
      <w:r w:rsidR="003946A0">
        <w:rPr>
          <w:rFonts w:hint="cs"/>
          <w:color w:val="000000"/>
          <w:sz w:val="24"/>
          <w:rtl/>
          <w:lang w:bidi="fa-IR"/>
        </w:rPr>
        <w:t xml:space="preserve"> های</w:t>
      </w:r>
      <w:r>
        <w:rPr>
          <w:color w:val="000000"/>
          <w:sz w:val="24"/>
          <w:rtl/>
        </w:rPr>
        <w:t xml:space="preserve"> </w:t>
      </w:r>
      <w:r w:rsidR="003946A0" w:rsidRPr="003946A0">
        <w:rPr>
          <w:rStyle w:val="Emphasis"/>
          <w:rFonts w:ascii="Arial" w:hAnsi="Arial" w:cs="Arial"/>
          <w:i w:val="0"/>
          <w:iCs w:val="0"/>
          <w:sz w:val="21"/>
          <w:szCs w:val="21"/>
          <w:shd w:val="clear" w:color="auto" w:fill="FFFFFF"/>
        </w:rPr>
        <w:t>MDRD</w:t>
      </w:r>
      <w:r w:rsidR="003946A0" w:rsidRPr="003946A0">
        <w:rPr>
          <w:rStyle w:val="Emphasis"/>
          <w:rFonts w:ascii="Arial" w:hAnsi="Arial" w:cs="Arial"/>
          <w:b/>
          <w:bCs/>
          <w:i w:val="0"/>
          <w:iCs w:val="0"/>
          <w:sz w:val="21"/>
          <w:szCs w:val="21"/>
          <w:shd w:val="clear" w:color="auto" w:fill="FFFFFF"/>
        </w:rPr>
        <w:t xml:space="preserve">, </w:t>
      </w:r>
      <w:r w:rsidR="003946A0" w:rsidRPr="003946A0">
        <w:rPr>
          <w:rStyle w:val="Emphasis"/>
          <w:rFonts w:ascii="Arial" w:hAnsi="Arial" w:cs="Arial"/>
          <w:i w:val="0"/>
          <w:iCs w:val="0"/>
          <w:sz w:val="21"/>
          <w:szCs w:val="21"/>
          <w:shd w:val="clear" w:color="auto" w:fill="FFFFFF"/>
        </w:rPr>
        <w:t>CKD-EPI, and CG-IBW</w:t>
      </w:r>
      <w:r w:rsidRPr="003946A0">
        <w:rPr>
          <w:sz w:val="24"/>
          <w:rtl/>
        </w:rPr>
        <w:t xml:space="preserve"> </w:t>
      </w:r>
      <w:proofErr w:type="spellStart"/>
      <w:r w:rsidRPr="003946A0">
        <w:rPr>
          <w:sz w:val="24"/>
          <w:rtl/>
        </w:rPr>
        <w:t>با</w:t>
      </w:r>
      <w:proofErr w:type="spellEnd"/>
      <w:r w:rsidRPr="003946A0">
        <w:rPr>
          <w:sz w:val="24"/>
          <w:rtl/>
        </w:rPr>
        <w:t xml:space="preserve"> </w:t>
      </w:r>
      <w:proofErr w:type="spellStart"/>
      <w:r w:rsidRPr="003946A0">
        <w:rPr>
          <w:sz w:val="24"/>
          <w:rtl/>
        </w:rPr>
        <w:t>استفاده</w:t>
      </w:r>
      <w:proofErr w:type="spellEnd"/>
      <w:r w:rsidRPr="003946A0">
        <w:rPr>
          <w:sz w:val="24"/>
          <w:rtl/>
        </w:rPr>
        <w:t xml:space="preserve"> </w:t>
      </w:r>
      <w:r>
        <w:rPr>
          <w:color w:val="000000"/>
          <w:sz w:val="24"/>
          <w:rtl/>
        </w:rPr>
        <w:t xml:space="preserve">از </w:t>
      </w:r>
      <w:proofErr w:type="spellStart"/>
      <w:r>
        <w:rPr>
          <w:color w:val="000000"/>
          <w:sz w:val="24"/>
          <w:rtl/>
        </w:rPr>
        <w:t>کراتینین</w:t>
      </w:r>
      <w:proofErr w:type="spellEnd"/>
      <w:r>
        <w:rPr>
          <w:color w:val="000000"/>
          <w:sz w:val="24"/>
          <w:rtl/>
        </w:rPr>
        <w:t xml:space="preserve"> سرم، سن </w:t>
      </w:r>
      <w:proofErr w:type="gramStart"/>
      <w:r>
        <w:rPr>
          <w:color w:val="000000"/>
          <w:sz w:val="24"/>
          <w:rtl/>
        </w:rPr>
        <w:t>و جنس</w:t>
      </w:r>
      <w:proofErr w:type="gramEnd"/>
      <w:r>
        <w:rPr>
          <w:color w:val="000000"/>
          <w:sz w:val="24"/>
          <w:rtl/>
        </w:rPr>
        <w:t>. واحد: mL/min/1.73m².</w:t>
      </w:r>
    </w:p>
    <w:p w:rsidR="002D7383" w:rsidRDefault="00B91B00" w:rsidP="008E1DB5">
      <w:pPr>
        <w:bidi/>
        <w:spacing w:after="80" w:line="360" w:lineRule="auto"/>
      </w:pPr>
      <w:r>
        <w:rPr>
          <w:b/>
          <w:color w:val="000000"/>
          <w:sz w:val="24"/>
          <w:rtl/>
        </w:rPr>
        <w:t>پروتئینوری:</w:t>
      </w:r>
    </w:p>
    <w:p w:rsidR="002D7383" w:rsidRDefault="00B91B00" w:rsidP="008E1DB5">
      <w:pPr>
        <w:bidi/>
        <w:spacing w:after="100" w:line="360" w:lineRule="auto"/>
        <w:ind w:firstLine="283"/>
        <w:rPr>
          <w:color w:val="000000"/>
          <w:sz w:val="24"/>
          <w:rtl/>
        </w:rPr>
      </w:pPr>
      <w:r>
        <w:rPr>
          <w:color w:val="000000"/>
          <w:sz w:val="24"/>
          <w:rtl/>
        </w:rPr>
        <w:t>وجود پروتئین در آزمایش دیپ‌استیک ادرار (≥ 1+) در هر ویزیت TLGS.</w:t>
      </w: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rPr>
          <w:rtl/>
        </w:rPr>
      </w:pPr>
    </w:p>
    <w:p w:rsidR="008E1DB5" w:rsidRDefault="008E1DB5" w:rsidP="008E1DB5">
      <w:pPr>
        <w:bidi/>
        <w:spacing w:after="100" w:line="360" w:lineRule="auto"/>
        <w:ind w:firstLine="283"/>
        <w:rPr>
          <w:rtl/>
        </w:rPr>
      </w:pPr>
    </w:p>
    <w:p w:rsidR="008E1DB5" w:rsidRDefault="008E1DB5" w:rsidP="008E1DB5">
      <w:pPr>
        <w:bidi/>
        <w:spacing w:after="100" w:line="360" w:lineRule="auto"/>
        <w:ind w:firstLine="283"/>
        <w:rPr>
          <w:rtl/>
        </w:rPr>
      </w:pPr>
    </w:p>
    <w:p w:rsidR="008E1DB5" w:rsidRDefault="008E1DB5" w:rsidP="008E1DB5">
      <w:pPr>
        <w:bidi/>
        <w:spacing w:after="100" w:line="360" w:lineRule="auto"/>
        <w:ind w:firstLine="283"/>
      </w:pPr>
    </w:p>
    <w:p w:rsidR="002D7383" w:rsidRPr="008E1DB5" w:rsidRDefault="00B91B00" w:rsidP="008E1DB5">
      <w:pPr>
        <w:bidi/>
        <w:spacing w:before="200" w:after="80" w:line="360" w:lineRule="auto"/>
        <w:rPr>
          <w:bCs/>
        </w:rPr>
      </w:pPr>
      <w:r w:rsidRPr="008E1DB5">
        <w:rPr>
          <w:bCs/>
          <w:color w:val="1F497D"/>
          <w:sz w:val="28"/>
          <w:rtl/>
        </w:rPr>
        <w:lastRenderedPageBreak/>
        <w:t>۲-۷- بررسی متون (Literature Review):</w:t>
      </w:r>
    </w:p>
    <w:p w:rsidR="002D7383" w:rsidRPr="008E1DB5" w:rsidRDefault="00B91B00" w:rsidP="008E1DB5">
      <w:pPr>
        <w:bidi/>
        <w:spacing w:after="80" w:line="360" w:lineRule="auto"/>
        <w:rPr>
          <w:bCs/>
        </w:rPr>
      </w:pPr>
      <w:r w:rsidRPr="008E1DB5">
        <w:rPr>
          <w:bCs/>
          <w:color w:val="000000"/>
          <w:sz w:val="24"/>
          <w:rtl/>
        </w:rPr>
        <w:t>الف) فنوتیپ‌های چاقی — مفاهیم و تعاریف:</w:t>
      </w:r>
    </w:p>
    <w:p w:rsidR="002D7383" w:rsidRDefault="00B91B00" w:rsidP="008E1DB5">
      <w:pPr>
        <w:bidi/>
        <w:spacing w:after="100" w:line="360" w:lineRule="auto"/>
        <w:ind w:firstLine="283"/>
      </w:pPr>
      <w:r>
        <w:rPr>
          <w:color w:val="000000"/>
          <w:sz w:val="24"/>
          <w:rtl/>
        </w:rPr>
        <w:t>مفهوم MONW اولین بار توسط Ruderman و همکاران در سال ۱۹۸۱ مطرح شد. این فنوتیپ افرادی را توصیف می‌کند که با وجود BMI طبیعی، مقاومت انسولینی و سایر اختلالات متابولیکی دارند. شیوع MONW در جمعیت‌های مختلف ۱۵–۳۰٪ از افراد با BMI طبیعی تخمین زده شده است. در مقابل، MHO تخمیناً ۱۰–۲۵٪ از افراد چاق را شامل می‌شود. این دو فنوتیپ از نظر توزیع چربی بدن، حساسیت انسولینی و پروفایل التهابی تفاوت‌های فیزیوپاتولوژیک اساسی دارند.</w:t>
      </w:r>
    </w:p>
    <w:p w:rsidR="002D7383" w:rsidRPr="008E1DB5" w:rsidRDefault="00B91B00" w:rsidP="008E1DB5">
      <w:pPr>
        <w:bidi/>
        <w:spacing w:after="80" w:line="360" w:lineRule="auto"/>
        <w:rPr>
          <w:bCs/>
        </w:rPr>
      </w:pPr>
      <w:r w:rsidRPr="008E1DB5">
        <w:rPr>
          <w:bCs/>
          <w:color w:val="000000"/>
          <w:sz w:val="24"/>
          <w:rtl/>
        </w:rPr>
        <w:t>ب) فنوتیپ‌های چاقی و خطر CKD — شواهد کوهورتی و متاآنالیتیک:</w:t>
      </w:r>
    </w:p>
    <w:p w:rsidR="002D7383" w:rsidRDefault="00B91B00" w:rsidP="008E1DB5">
      <w:pPr>
        <w:bidi/>
        <w:spacing w:after="100" w:line="360" w:lineRule="auto"/>
        <w:ind w:firstLine="283"/>
      </w:pPr>
      <w:r>
        <w:rPr>
          <w:color w:val="000000"/>
          <w:sz w:val="24"/>
          <w:rtl/>
        </w:rPr>
        <w:t>Alizadeh و همکاران (۲۰۱۹) در یک متاآنالیز بر روی ۹ مطالعه کوهورت با ۱۲۸۷۷۳ شرکت‌کننده نشان دادند که خطر نسبی CKD در MUHO برابر ۲.۱۳ (CI95: 1.66–2.72)، در MHO برابر ۱.۵۵ (CI95: 1.34–1.79) و حتی در MHOW برابر ۱.۳۴ (CI95: 1.20–1.51) بود. این یافته‌ها نشان می‌دهند که هم اضافه چربی و هم اختلال متابولیک، هریک به طور مستقل بر خطر کلیوی تأثیر می‌گذارند.</w:t>
      </w:r>
    </w:p>
    <w:p w:rsidR="002D7383" w:rsidRDefault="00B91B00" w:rsidP="008E1DB5">
      <w:pPr>
        <w:bidi/>
        <w:spacing w:after="100" w:line="360" w:lineRule="auto"/>
        <w:ind w:firstLine="283"/>
      </w:pPr>
      <w:r>
        <w:rPr>
          <w:color w:val="000000"/>
          <w:sz w:val="24"/>
          <w:rtl/>
        </w:rPr>
        <w:t>در زمینه MONW، مطالعات نشان داده‌اند که این افراد با وجود BMI طبیعی، سطح بالاتری از چربی احشایی، مقاومت انسولینی و التهاب سیستمیک دارند — همان مکانیسم‌هایی که در پاتوژنز CKD نقش اساسی دارند. با این حال، مطالعه اختصاصی فنوتیپ MONW و پیامد کلیوی بلندمدت آن، به‌ویژه در جمعیت نوجوان، بسیار محدود است.</w:t>
      </w:r>
    </w:p>
    <w:p w:rsidR="002D7383" w:rsidRPr="008E1DB5" w:rsidRDefault="00B91B00" w:rsidP="008E1DB5">
      <w:pPr>
        <w:bidi/>
        <w:spacing w:after="80" w:line="360" w:lineRule="auto"/>
        <w:rPr>
          <w:bCs/>
        </w:rPr>
      </w:pPr>
      <w:r w:rsidRPr="008E1DB5">
        <w:rPr>
          <w:bCs/>
          <w:color w:val="000000"/>
          <w:sz w:val="24"/>
          <w:rtl/>
        </w:rPr>
        <w:t>ج) چاقی نوجوانی و سلامت کلیه:</w:t>
      </w:r>
    </w:p>
    <w:p w:rsidR="002D7383" w:rsidRDefault="00B91B00" w:rsidP="008E1DB5">
      <w:pPr>
        <w:bidi/>
        <w:spacing w:after="100" w:line="360" w:lineRule="auto"/>
        <w:ind w:firstLine="283"/>
      </w:pPr>
      <w:r>
        <w:rPr>
          <w:color w:val="000000"/>
          <w:sz w:val="24"/>
          <w:rtl/>
        </w:rPr>
        <w:t>شواهد اخیر نشان می‌دهند که چاقی نوجوانی با کاهش eGFR و افزایش microalbuminuria در همان دوران همراه است. مهم‌تر از آن، مطالعات طولی نشان داده‌اند که BMI بالا در نوجوانی پیشگوی مستقل CKD در بزرگسالی است. با این حال، نقش فنوتیپ متابولیک (MONW در برابر MHO در برابر MHNW) در نوجوانی و پیامد کلیوی دهه‌های بعد در کوهورت‌های طولانی‌مدت بررسی نشده است.</w:t>
      </w:r>
    </w:p>
    <w:p w:rsidR="002D7383" w:rsidRPr="008E1DB5" w:rsidRDefault="00B91B00" w:rsidP="008E1DB5">
      <w:pPr>
        <w:bidi/>
        <w:spacing w:after="80" w:line="360" w:lineRule="auto"/>
        <w:rPr>
          <w:bCs/>
        </w:rPr>
      </w:pPr>
      <w:r w:rsidRPr="008E1DB5">
        <w:rPr>
          <w:bCs/>
          <w:color w:val="000000"/>
          <w:sz w:val="24"/>
          <w:rtl/>
        </w:rPr>
        <w:t>د) داده‌های TLGS:</w:t>
      </w:r>
    </w:p>
    <w:p w:rsidR="002D7383" w:rsidRDefault="00B91B00" w:rsidP="008E1DB5">
      <w:pPr>
        <w:bidi/>
        <w:spacing w:after="100" w:line="360" w:lineRule="auto"/>
        <w:ind w:firstLine="283"/>
      </w:pPr>
      <w:r>
        <w:rPr>
          <w:color w:val="000000"/>
          <w:sz w:val="24"/>
          <w:rtl/>
        </w:rPr>
        <w:t>مطالعه قند و لیپید تهران (TLGS) با بیش از ۱۵۰۰۰ شرکت‌کننده و پیگیری بیش از ۲۵ سال، یکی از بزرگ‌ترین و طولانی‌ترین کوهورت‌های جمعیتی منطقه خاورمیانه است. در قالب TLGS، مطالعات متعددی بر روی فنوتیپ‌های چاقی انجام شده که نشان می‌دهند فنوتیپ MHO در جمعیت ایرانی یک حالت گذراست؛ بیش از ۸۷٪ مردان و ۷۷٪ زنان MHO در طول ۱۵ سال به MUO منتقل می‌شوند. همچنین کوهورت TLGS داده‌های کلیوی (کراتینین سرم، آنالیز ادرار، دیپ‌استیک پروتئین) را از فازهای مختلف جمع‌آوری کرده است [Eftekharzadeh et al., 2018; Sadeghi et al., 2026].</w:t>
      </w:r>
    </w:p>
    <w:p w:rsidR="002D7383" w:rsidRPr="008E1DB5" w:rsidRDefault="00B91B00" w:rsidP="008E1DB5">
      <w:pPr>
        <w:bidi/>
        <w:spacing w:after="80" w:line="360" w:lineRule="auto"/>
        <w:rPr>
          <w:bCs/>
        </w:rPr>
      </w:pPr>
      <w:r w:rsidRPr="008E1DB5">
        <w:rPr>
          <w:bCs/>
          <w:color w:val="000000"/>
          <w:sz w:val="24"/>
          <w:rtl/>
        </w:rPr>
        <w:t>ه) خلأ تحقیقاتی:</w:t>
      </w:r>
    </w:p>
    <w:p w:rsidR="002D7383" w:rsidRDefault="00B91B00" w:rsidP="008E1DB5">
      <w:pPr>
        <w:bidi/>
        <w:spacing w:after="100" w:line="360" w:lineRule="auto"/>
        <w:ind w:firstLine="283"/>
        <w:rPr>
          <w:color w:val="000000"/>
          <w:sz w:val="24"/>
          <w:rtl/>
        </w:rPr>
      </w:pPr>
      <w:r>
        <w:rPr>
          <w:color w:val="000000"/>
          <w:sz w:val="24"/>
          <w:rtl/>
        </w:rPr>
        <w:t>با وجود شواهد فوق، هیچ مطالعه‌ای در ایران یا منطقه خاورمیانه به طور اختصاصی تأثیر فنوتیپ چاقی (MONW در مقابل MHO) در دوران نوجوانی را بر سیر طولانی‌مدت عملکرد کلیوی در یک کوهورت جمعیتی بررسی نکرده است. این مطالعه با بهره‌گیری از ظرفیت بی‌نظیر TLGS این خلأ را پر خواهد کرد.</w:t>
      </w:r>
    </w:p>
    <w:p w:rsidR="008E1DB5" w:rsidRDefault="008E1DB5" w:rsidP="008E1DB5">
      <w:pPr>
        <w:bidi/>
        <w:spacing w:after="100" w:line="360" w:lineRule="auto"/>
        <w:ind w:firstLine="283"/>
        <w:rPr>
          <w:color w:val="000000"/>
          <w:sz w:val="24"/>
          <w:rtl/>
        </w:rPr>
      </w:pPr>
    </w:p>
    <w:p w:rsidR="008E1DB5" w:rsidRDefault="008E1DB5" w:rsidP="008E1DB5">
      <w:pPr>
        <w:bidi/>
        <w:spacing w:after="100" w:line="360" w:lineRule="auto"/>
        <w:ind w:firstLine="283"/>
      </w:pPr>
    </w:p>
    <w:p w:rsidR="002D7383" w:rsidRPr="008E1DB5" w:rsidRDefault="00B91B00" w:rsidP="008E1DB5">
      <w:pPr>
        <w:bidi/>
        <w:spacing w:before="200" w:after="80" w:line="360" w:lineRule="auto"/>
        <w:rPr>
          <w:bCs/>
        </w:rPr>
      </w:pPr>
      <w:r w:rsidRPr="008E1DB5">
        <w:rPr>
          <w:bCs/>
          <w:color w:val="1F497D"/>
          <w:sz w:val="28"/>
          <w:rtl/>
        </w:rPr>
        <w:lastRenderedPageBreak/>
        <w:t>۱-۸- اهداف و فرضیات پژوهش:</w:t>
      </w:r>
    </w:p>
    <w:p w:rsidR="002D7383" w:rsidRPr="008E1DB5" w:rsidRDefault="00B91B00" w:rsidP="008E1DB5">
      <w:pPr>
        <w:bidi/>
        <w:spacing w:after="80" w:line="360" w:lineRule="auto"/>
        <w:rPr>
          <w:bCs/>
        </w:rPr>
      </w:pPr>
      <w:r w:rsidRPr="008E1DB5">
        <w:rPr>
          <w:bCs/>
          <w:color w:val="000000"/>
          <w:sz w:val="24"/>
          <w:rtl/>
        </w:rPr>
        <w:t>۲-۸-۱- هدف کلی:</w:t>
      </w:r>
    </w:p>
    <w:p w:rsidR="002D7383" w:rsidRDefault="00B91B00" w:rsidP="008E1DB5">
      <w:pPr>
        <w:bidi/>
        <w:spacing w:after="100" w:line="360" w:lineRule="auto"/>
        <w:ind w:firstLine="283"/>
      </w:pPr>
      <w:r>
        <w:rPr>
          <w:color w:val="000000"/>
          <w:sz w:val="24"/>
          <w:rtl/>
        </w:rPr>
        <w:t>بررسی ارتباط فنوتیپ‌های چاقی در دوران نوجوانی (MONW و MHO) با سیر بلندمدت عملکرد کلیوی در شرکت‌کنندگان کوهورت TLGS</w:t>
      </w:r>
    </w:p>
    <w:p w:rsidR="002D7383" w:rsidRPr="008E1DB5" w:rsidRDefault="00B91B00" w:rsidP="008E1DB5">
      <w:pPr>
        <w:bidi/>
        <w:spacing w:after="80" w:line="360" w:lineRule="auto"/>
        <w:rPr>
          <w:bCs/>
        </w:rPr>
      </w:pPr>
      <w:r w:rsidRPr="008E1DB5">
        <w:rPr>
          <w:bCs/>
          <w:color w:val="000000"/>
          <w:sz w:val="24"/>
          <w:rtl/>
        </w:rPr>
        <w:t>۲-۸-۲- اهداف اختصاصی:</w:t>
      </w:r>
    </w:p>
    <w:p w:rsidR="00AE063F" w:rsidRPr="00AE063F" w:rsidRDefault="00B91B00" w:rsidP="00AE063F">
      <w:pPr>
        <w:bidi/>
        <w:spacing w:after="100" w:line="360" w:lineRule="auto"/>
        <w:ind w:firstLine="283"/>
        <w:rPr>
          <w:color w:val="000000"/>
          <w:sz w:val="24"/>
        </w:rPr>
      </w:pPr>
      <w:r>
        <w:rPr>
          <w:color w:val="000000"/>
          <w:sz w:val="24"/>
          <w:rtl/>
        </w:rPr>
        <w:t xml:space="preserve">۱. تعیین فراوانی فنوتیپ‌های MONW، MHO </w:t>
      </w:r>
      <w:proofErr w:type="gramStart"/>
      <w:r>
        <w:rPr>
          <w:color w:val="000000"/>
          <w:sz w:val="24"/>
          <w:rtl/>
        </w:rPr>
        <w:t>و MHNW</w:t>
      </w:r>
      <w:proofErr w:type="gramEnd"/>
      <w:r>
        <w:rPr>
          <w:color w:val="000000"/>
          <w:sz w:val="24"/>
          <w:rtl/>
        </w:rPr>
        <w:t xml:space="preserve"> در شرکت‌کنندگان TLGS با سن &lt; ۲۰ سال در </w:t>
      </w:r>
      <w:proofErr w:type="spellStart"/>
      <w:r>
        <w:rPr>
          <w:color w:val="000000"/>
          <w:sz w:val="24"/>
          <w:rtl/>
        </w:rPr>
        <w:t>فازهای</w:t>
      </w:r>
      <w:proofErr w:type="spellEnd"/>
      <w:r>
        <w:rPr>
          <w:color w:val="000000"/>
          <w:sz w:val="24"/>
          <w:rtl/>
        </w:rPr>
        <w:t xml:space="preserve"> مختلف مطالعه</w:t>
      </w:r>
    </w:p>
    <w:p w:rsidR="00AE063F" w:rsidRPr="00AE063F" w:rsidRDefault="00B91B00" w:rsidP="00AE063F">
      <w:pPr>
        <w:bidi/>
        <w:spacing w:after="100" w:line="360" w:lineRule="auto"/>
        <w:ind w:firstLine="283"/>
        <w:rPr>
          <w:color w:val="000000"/>
          <w:sz w:val="24"/>
        </w:rPr>
      </w:pPr>
      <w:r>
        <w:rPr>
          <w:color w:val="000000"/>
          <w:sz w:val="24"/>
          <w:rtl/>
        </w:rPr>
        <w:t xml:space="preserve">۲. مقایسه slope of eGFR (نرخ سالانه تغییر eGFR) در طول دوره پیگیری بین سه گروه MONW، MHO </w:t>
      </w:r>
      <w:proofErr w:type="gramStart"/>
      <w:r>
        <w:rPr>
          <w:color w:val="000000"/>
          <w:sz w:val="24"/>
          <w:rtl/>
        </w:rPr>
        <w:t>و MHNW</w:t>
      </w:r>
      <w:proofErr w:type="gramEnd"/>
    </w:p>
    <w:p w:rsidR="002D7383" w:rsidRDefault="00B91B00" w:rsidP="008E1DB5">
      <w:pPr>
        <w:bidi/>
        <w:spacing w:after="100" w:line="360" w:lineRule="auto"/>
        <w:ind w:firstLine="283"/>
      </w:pPr>
      <w:r>
        <w:rPr>
          <w:color w:val="000000"/>
          <w:sz w:val="24"/>
          <w:rtl/>
        </w:rPr>
        <w:t>۳. بررسی ارتباط فنوتیپ چاقی در نوجوانی با بروز CKD (eGFR &lt; 60 در ≥ ۲ ویزیت) در طول پیگیری پس از تعدیل عوامل مخدوش‌کننده</w:t>
      </w:r>
    </w:p>
    <w:p w:rsidR="002D7383" w:rsidRDefault="00B91B00" w:rsidP="008E1DB5">
      <w:pPr>
        <w:bidi/>
        <w:spacing w:after="100" w:line="360" w:lineRule="auto"/>
        <w:ind w:firstLine="283"/>
      </w:pPr>
      <w:r>
        <w:rPr>
          <w:color w:val="000000"/>
          <w:sz w:val="24"/>
          <w:rtl/>
        </w:rPr>
        <w:t>۴. بررسی ارتباط فنوتیپ چاقی در نوجوانی با کاهش سریع عملکرد کلیه (≥ ۳۰٪ کاهش eGFR از baseline)</w:t>
      </w:r>
    </w:p>
    <w:p w:rsidR="002D7383" w:rsidRDefault="00B91B00" w:rsidP="008E1DB5">
      <w:pPr>
        <w:bidi/>
        <w:spacing w:after="100" w:line="360" w:lineRule="auto"/>
        <w:ind w:firstLine="283"/>
      </w:pPr>
      <w:r>
        <w:rPr>
          <w:color w:val="000000"/>
          <w:sz w:val="24"/>
          <w:rtl/>
        </w:rPr>
        <w:t>۵. مقایسه اثر فنوتیپ چاقی بر renal trajectory بین دختران و پسران نوجوان</w:t>
      </w:r>
    </w:p>
    <w:p w:rsidR="00AE063F" w:rsidRDefault="00B91B00" w:rsidP="00AE063F">
      <w:pPr>
        <w:bidi/>
        <w:spacing w:after="100" w:line="360" w:lineRule="auto"/>
        <w:ind w:firstLine="283"/>
        <w:rPr>
          <w:color w:val="000000"/>
          <w:sz w:val="24"/>
          <w:rtl/>
        </w:rPr>
      </w:pPr>
      <w:r>
        <w:rPr>
          <w:color w:val="000000"/>
          <w:sz w:val="24"/>
          <w:rtl/>
        </w:rPr>
        <w:t xml:space="preserve">۶. بررسی نقش پروتئینوری به عنوان تعدیل‌کننده </w:t>
      </w:r>
      <w:proofErr w:type="gramStart"/>
      <w:r>
        <w:rPr>
          <w:color w:val="000000"/>
          <w:sz w:val="24"/>
          <w:rtl/>
        </w:rPr>
        <w:t>اثر</w:t>
      </w:r>
      <w:proofErr w:type="gramEnd"/>
      <w:r>
        <w:rPr>
          <w:color w:val="000000"/>
          <w:sz w:val="24"/>
          <w:rtl/>
        </w:rPr>
        <w:t xml:space="preserve"> (effect modifier) در ارتباط بین فنوتیپ نوجوانی و </w:t>
      </w:r>
      <w:proofErr w:type="spellStart"/>
      <w:r>
        <w:rPr>
          <w:color w:val="000000"/>
          <w:sz w:val="24"/>
          <w:rtl/>
        </w:rPr>
        <w:t>decline</w:t>
      </w:r>
      <w:proofErr w:type="spellEnd"/>
      <w:r>
        <w:rPr>
          <w:color w:val="000000"/>
          <w:sz w:val="24"/>
          <w:rtl/>
        </w:rPr>
        <w:t xml:space="preserve"> </w:t>
      </w:r>
      <w:proofErr w:type="spellStart"/>
      <w:r>
        <w:rPr>
          <w:color w:val="000000"/>
          <w:sz w:val="24"/>
          <w:rtl/>
        </w:rPr>
        <w:t>عملکرد</w:t>
      </w:r>
      <w:proofErr w:type="spellEnd"/>
      <w:r>
        <w:rPr>
          <w:color w:val="000000"/>
          <w:sz w:val="24"/>
          <w:rtl/>
        </w:rPr>
        <w:t xml:space="preserve"> </w:t>
      </w:r>
      <w:proofErr w:type="spellStart"/>
      <w:r>
        <w:rPr>
          <w:color w:val="000000"/>
          <w:sz w:val="24"/>
          <w:rtl/>
        </w:rPr>
        <w:t>کلیو</w:t>
      </w:r>
      <w:r w:rsidR="00AE063F">
        <w:rPr>
          <w:rFonts w:hint="cs"/>
          <w:color w:val="000000"/>
          <w:sz w:val="24"/>
          <w:rtl/>
        </w:rPr>
        <w:t>ی</w:t>
      </w:r>
      <w:proofErr w:type="spellEnd"/>
    </w:p>
    <w:p w:rsidR="00AE063F" w:rsidRPr="00AE063F" w:rsidRDefault="00AE063F" w:rsidP="00AE063F">
      <w:pPr>
        <w:bidi/>
        <w:spacing w:after="100" w:line="360" w:lineRule="auto"/>
        <w:ind w:firstLine="283"/>
        <w:rPr>
          <w:color w:val="000000"/>
          <w:sz w:val="24"/>
        </w:rPr>
      </w:pPr>
      <w:r>
        <w:rPr>
          <w:rFonts w:hint="cs"/>
          <w:color w:val="000000"/>
          <w:sz w:val="24"/>
          <w:rtl/>
        </w:rPr>
        <w:t xml:space="preserve">۷. </w:t>
      </w:r>
      <w:proofErr w:type="spellStart"/>
      <w:r>
        <w:rPr>
          <w:rFonts w:hint="cs"/>
          <w:color w:val="000000"/>
          <w:sz w:val="24"/>
          <w:rtl/>
        </w:rPr>
        <w:t>بررسی</w:t>
      </w:r>
      <w:proofErr w:type="spellEnd"/>
      <w:r>
        <w:rPr>
          <w:rFonts w:hint="cs"/>
          <w:color w:val="000000"/>
          <w:sz w:val="24"/>
          <w:rtl/>
        </w:rPr>
        <w:t xml:space="preserve"> سن بروز </w:t>
      </w:r>
      <w:proofErr w:type="spellStart"/>
      <w:r>
        <w:rPr>
          <w:rFonts w:hint="cs"/>
          <w:color w:val="000000"/>
          <w:sz w:val="24"/>
          <w:rtl/>
        </w:rPr>
        <w:t>اولین</w:t>
      </w:r>
      <w:proofErr w:type="spellEnd"/>
      <w:r>
        <w:rPr>
          <w:rFonts w:hint="cs"/>
          <w:color w:val="000000"/>
          <w:sz w:val="24"/>
          <w:rtl/>
        </w:rPr>
        <w:t xml:space="preserve"> </w:t>
      </w:r>
      <w:proofErr w:type="gramStart"/>
      <w:r>
        <w:rPr>
          <w:rFonts w:hint="cs"/>
          <w:color w:val="000000"/>
          <w:sz w:val="24"/>
          <w:rtl/>
        </w:rPr>
        <w:t>افت</w:t>
      </w:r>
      <w:proofErr w:type="gramEnd"/>
      <w:r>
        <w:rPr>
          <w:rFonts w:hint="cs"/>
          <w:color w:val="000000"/>
          <w:sz w:val="24"/>
          <w:rtl/>
        </w:rPr>
        <w:t xml:space="preserve"> </w:t>
      </w:r>
      <w:proofErr w:type="spellStart"/>
      <w:r>
        <w:rPr>
          <w:rFonts w:hint="cs"/>
          <w:color w:val="000000"/>
          <w:sz w:val="24"/>
          <w:rtl/>
        </w:rPr>
        <w:t>عملکرد</w:t>
      </w:r>
      <w:proofErr w:type="spellEnd"/>
      <w:r>
        <w:rPr>
          <w:rFonts w:hint="cs"/>
          <w:color w:val="000000"/>
          <w:sz w:val="24"/>
          <w:rtl/>
        </w:rPr>
        <w:t xml:space="preserve"> </w:t>
      </w:r>
      <w:proofErr w:type="spellStart"/>
      <w:r>
        <w:rPr>
          <w:rFonts w:hint="cs"/>
          <w:color w:val="000000"/>
          <w:sz w:val="24"/>
          <w:rtl/>
        </w:rPr>
        <w:t>کلیوی</w:t>
      </w:r>
      <w:proofErr w:type="spellEnd"/>
      <w:r>
        <w:rPr>
          <w:rFonts w:hint="cs"/>
          <w:color w:val="000000"/>
          <w:sz w:val="24"/>
          <w:rtl/>
        </w:rPr>
        <w:t xml:space="preserve"> (</w:t>
      </w:r>
      <w:r>
        <w:rPr>
          <w:color w:val="000000"/>
          <w:sz w:val="24"/>
        </w:rPr>
        <w:t>the onset of GFR decline</w:t>
      </w:r>
      <w:r>
        <w:rPr>
          <w:rFonts w:hint="cs"/>
          <w:color w:val="000000"/>
          <w:sz w:val="24"/>
          <w:rtl/>
          <w:lang w:bidi="fa-IR"/>
        </w:rPr>
        <w:t xml:space="preserve">) </w:t>
      </w:r>
      <w:r>
        <w:rPr>
          <w:color w:val="000000"/>
          <w:sz w:val="24"/>
          <w:rtl/>
        </w:rPr>
        <w:t xml:space="preserve">در طول دوره </w:t>
      </w:r>
      <w:proofErr w:type="spellStart"/>
      <w:r>
        <w:rPr>
          <w:color w:val="000000"/>
          <w:sz w:val="24"/>
          <w:rtl/>
        </w:rPr>
        <w:t>پیگیری</w:t>
      </w:r>
      <w:proofErr w:type="spellEnd"/>
      <w:r>
        <w:rPr>
          <w:color w:val="000000"/>
          <w:sz w:val="24"/>
          <w:rtl/>
        </w:rPr>
        <w:t xml:space="preserve"> </w:t>
      </w:r>
      <w:proofErr w:type="spellStart"/>
      <w:r>
        <w:rPr>
          <w:color w:val="000000"/>
          <w:sz w:val="24"/>
          <w:rtl/>
        </w:rPr>
        <w:t>بین</w:t>
      </w:r>
      <w:proofErr w:type="spellEnd"/>
      <w:r>
        <w:rPr>
          <w:color w:val="000000"/>
          <w:sz w:val="24"/>
          <w:rtl/>
        </w:rPr>
        <w:t xml:space="preserve"> سه </w:t>
      </w:r>
      <w:proofErr w:type="spellStart"/>
      <w:r>
        <w:rPr>
          <w:color w:val="000000"/>
          <w:sz w:val="24"/>
          <w:rtl/>
        </w:rPr>
        <w:t>گروه</w:t>
      </w:r>
      <w:proofErr w:type="spellEnd"/>
      <w:r>
        <w:rPr>
          <w:color w:val="000000"/>
          <w:sz w:val="24"/>
          <w:rtl/>
        </w:rPr>
        <w:t xml:space="preserve"> MONW، MHO و MHNW</w:t>
      </w:r>
    </w:p>
    <w:p w:rsidR="00AE063F" w:rsidRPr="00AE063F" w:rsidRDefault="00AE063F" w:rsidP="00AE063F">
      <w:pPr>
        <w:bidi/>
        <w:spacing w:after="100" w:line="360" w:lineRule="auto"/>
        <w:ind w:firstLine="283"/>
        <w:rPr>
          <w:rFonts w:hint="cs"/>
          <w:color w:val="000000"/>
          <w:sz w:val="24"/>
          <w:rtl/>
          <w:lang w:bidi="fa-IR"/>
        </w:rPr>
      </w:pPr>
    </w:p>
    <w:p w:rsidR="002D7383" w:rsidRPr="008E1DB5" w:rsidRDefault="00B91B00" w:rsidP="008E1DB5">
      <w:pPr>
        <w:bidi/>
        <w:spacing w:after="80" w:line="360" w:lineRule="auto"/>
        <w:rPr>
          <w:bCs/>
        </w:rPr>
      </w:pPr>
      <w:r w:rsidRPr="008E1DB5">
        <w:rPr>
          <w:bCs/>
          <w:color w:val="000000"/>
          <w:sz w:val="24"/>
          <w:rtl/>
        </w:rPr>
        <w:t>۲-۸-۳- اهداف کاربردی:</w:t>
      </w:r>
    </w:p>
    <w:p w:rsidR="002D7383" w:rsidRDefault="00B91B00" w:rsidP="008E1DB5">
      <w:pPr>
        <w:bidi/>
        <w:spacing w:after="100" w:line="360" w:lineRule="auto"/>
        <w:ind w:firstLine="283"/>
      </w:pPr>
      <w:r>
        <w:rPr>
          <w:color w:val="000000"/>
          <w:sz w:val="24"/>
          <w:rtl/>
        </w:rPr>
        <w:t>۱. فراهم کردن پایه شواهدی برای غربالگری متابولیک هدفمند در نوجوانان به‌عنوان ابزار پیشگیری از CKD در بزرگسالی</w:t>
      </w:r>
    </w:p>
    <w:p w:rsidR="002D7383" w:rsidRDefault="00B91B00" w:rsidP="008E1DB5">
      <w:pPr>
        <w:bidi/>
        <w:spacing w:after="100" w:line="360" w:lineRule="auto"/>
        <w:ind w:firstLine="283"/>
      </w:pPr>
      <w:r>
        <w:rPr>
          <w:color w:val="000000"/>
          <w:sz w:val="24"/>
          <w:rtl/>
        </w:rPr>
        <w:t>۲. تعیین اینکه کدام فنوتیپ (MONW یا MHO) اولویت مداخله پیشگیرانه دارد</w:t>
      </w:r>
    </w:p>
    <w:p w:rsidR="002D7383" w:rsidRDefault="00B91B00" w:rsidP="008E1DB5">
      <w:pPr>
        <w:bidi/>
        <w:spacing w:after="100" w:line="360" w:lineRule="auto"/>
        <w:ind w:firstLine="283"/>
      </w:pPr>
      <w:r>
        <w:rPr>
          <w:color w:val="000000"/>
          <w:sz w:val="24"/>
          <w:rtl/>
        </w:rPr>
        <w:t>۳. ارائه داده‌های بومی برای گنجاندن ارزیابی فنوتیپ متابولیک در برنامه‌های بهداشت نوجوانان ایران</w:t>
      </w:r>
    </w:p>
    <w:p w:rsidR="002D7383" w:rsidRPr="008E1DB5" w:rsidRDefault="00B91B00" w:rsidP="008E1DB5">
      <w:pPr>
        <w:bidi/>
        <w:spacing w:after="80" w:line="360" w:lineRule="auto"/>
        <w:rPr>
          <w:bCs/>
        </w:rPr>
      </w:pPr>
      <w:r w:rsidRPr="008E1DB5">
        <w:rPr>
          <w:bCs/>
          <w:color w:val="000000"/>
          <w:sz w:val="24"/>
          <w:rtl/>
        </w:rPr>
        <w:t>۲-۸-۴- فرضیات / سؤالات تحقیق:</w:t>
      </w:r>
    </w:p>
    <w:p w:rsidR="002D7383" w:rsidRDefault="00B91B00" w:rsidP="008E1DB5">
      <w:pPr>
        <w:bidi/>
        <w:spacing w:after="100" w:line="360" w:lineRule="auto"/>
        <w:ind w:firstLine="283"/>
      </w:pPr>
      <w:r>
        <w:rPr>
          <w:color w:val="000000"/>
          <w:sz w:val="24"/>
          <w:rtl/>
        </w:rPr>
        <w:t>فرضیه ۱: نوجوانان با فنوتیپ MONW در مقایسه با MHNW، نرخ کاهش eGFR سریع‌تری در طول پیگیری بلندمدت خواهند داشت.</w:t>
      </w:r>
    </w:p>
    <w:p w:rsidR="002D7383" w:rsidRDefault="00B91B00" w:rsidP="008E1DB5">
      <w:pPr>
        <w:bidi/>
        <w:spacing w:after="100" w:line="360" w:lineRule="auto"/>
        <w:ind w:firstLine="283"/>
      </w:pPr>
      <w:r>
        <w:rPr>
          <w:color w:val="000000"/>
          <w:sz w:val="24"/>
          <w:rtl/>
        </w:rPr>
        <w:t>فرضیه ۲: نوجوانان با فنوتیپ MHO در مقایسه با MHNW، نرخ کاهش eGFR سریع‌تری در طول پیگیری بلندمدت خواهند داشت.</w:t>
      </w:r>
    </w:p>
    <w:p w:rsidR="002D7383" w:rsidRDefault="00B91B00" w:rsidP="008E1DB5">
      <w:pPr>
        <w:bidi/>
        <w:spacing w:after="100" w:line="360" w:lineRule="auto"/>
        <w:ind w:firstLine="283"/>
      </w:pPr>
      <w:r>
        <w:rPr>
          <w:color w:val="000000"/>
          <w:sz w:val="24"/>
          <w:rtl/>
        </w:rPr>
        <w:t>فرضیه ۳: نوجوانان با MONW خطر بالاتری برای بروز CKD در بزرگسالی نسبت به نوجوانان MHO دارند (با وجود BMI طبیعی در MONW).</w:t>
      </w:r>
    </w:p>
    <w:p w:rsidR="002D7383" w:rsidRDefault="00B91B00" w:rsidP="008E1DB5">
      <w:pPr>
        <w:bidi/>
        <w:spacing w:after="100" w:line="360" w:lineRule="auto"/>
        <w:ind w:firstLine="283"/>
        <w:rPr>
          <w:color w:val="000000"/>
          <w:sz w:val="24"/>
          <w:rtl/>
        </w:rPr>
      </w:pPr>
      <w:r>
        <w:rPr>
          <w:color w:val="000000"/>
          <w:sz w:val="24"/>
          <w:rtl/>
        </w:rPr>
        <w:lastRenderedPageBreak/>
        <w:t>سؤال پژوهشی: وضع</w:t>
      </w:r>
      <w:r w:rsidR="00B62BAA">
        <w:rPr>
          <w:color w:val="000000"/>
          <w:sz w:val="24"/>
          <w:rtl/>
        </w:rPr>
        <w:t xml:space="preserve">یت متابولیک </w:t>
      </w:r>
      <w:r w:rsidR="00B62BAA">
        <w:rPr>
          <w:rFonts w:hint="cs"/>
          <w:color w:val="000000"/>
          <w:sz w:val="24"/>
          <w:rtl/>
          <w:lang w:bidi="fa-IR"/>
        </w:rPr>
        <w:t xml:space="preserve">و چاقی در نوجوانان در </w:t>
      </w:r>
      <w:r w:rsidR="00B62BAA">
        <w:rPr>
          <w:rFonts w:hint="cs"/>
          <w:color w:val="000000"/>
          <w:sz w:val="24"/>
          <w:rtl/>
        </w:rPr>
        <w:t>پیشبینی عملکرد کلیوی</w:t>
      </w:r>
      <w:r>
        <w:rPr>
          <w:color w:val="000000"/>
          <w:sz w:val="24"/>
          <w:rtl/>
        </w:rPr>
        <w:t xml:space="preserve"> renal trajectory </w:t>
      </w:r>
      <w:r w:rsidR="00B62BAA">
        <w:rPr>
          <w:rFonts w:hint="cs"/>
          <w:color w:val="000000"/>
          <w:sz w:val="24"/>
          <w:rtl/>
        </w:rPr>
        <w:t>در طولانی مدت چه نقشی ایفا میکند ؟</w:t>
      </w:r>
    </w:p>
    <w:p w:rsidR="008E1DB5" w:rsidRDefault="008E1DB5" w:rsidP="008E1DB5">
      <w:pPr>
        <w:bidi/>
        <w:spacing w:after="100" w:line="360" w:lineRule="auto"/>
        <w:ind w:firstLine="283"/>
      </w:pPr>
    </w:p>
    <w:p w:rsidR="002D7383" w:rsidRPr="008E1DB5" w:rsidRDefault="00B91B00" w:rsidP="008E1DB5">
      <w:pPr>
        <w:bidi/>
        <w:spacing w:before="200" w:after="80" w:line="360" w:lineRule="auto"/>
        <w:rPr>
          <w:bCs/>
        </w:rPr>
      </w:pPr>
      <w:r w:rsidRPr="008E1DB5">
        <w:rPr>
          <w:bCs/>
          <w:color w:val="1F497D"/>
          <w:sz w:val="28"/>
          <w:rtl/>
        </w:rPr>
        <w:t>۲-۹- روش و تکنیک و نحوه اجرای مطالعه:</w:t>
      </w:r>
    </w:p>
    <w:p w:rsidR="002D7383" w:rsidRPr="008E1DB5" w:rsidRDefault="00B91B00" w:rsidP="008E1DB5">
      <w:pPr>
        <w:bidi/>
        <w:spacing w:after="80" w:line="360" w:lineRule="auto"/>
        <w:rPr>
          <w:bCs/>
        </w:rPr>
      </w:pPr>
      <w:r w:rsidRPr="008E1DB5">
        <w:rPr>
          <w:bCs/>
          <w:color w:val="000000"/>
          <w:sz w:val="24"/>
          <w:rtl/>
        </w:rPr>
        <w:t>۲-۹-۱- طراحی مطالعه:</w:t>
      </w:r>
    </w:p>
    <w:p w:rsidR="002D7383" w:rsidRDefault="00B91B00" w:rsidP="008E1DB5">
      <w:pPr>
        <w:bidi/>
        <w:spacing w:after="100" w:line="360" w:lineRule="auto"/>
        <w:ind w:firstLine="283"/>
      </w:pPr>
      <w:r>
        <w:rPr>
          <w:color w:val="000000"/>
          <w:sz w:val="24"/>
          <w:rtl/>
        </w:rPr>
        <w:t>تحلیل طولی داده‌های آینده‌نگر کوهورت TLGS (Longitudinal Analysis of Prospective Cohort Data). TLGS یک مطالعه کوهورت جمعیتی بزرگ است که از سال ۱۳۷۸ آغاز شده و هر ۳ سال یک‌بار پیگیری می‌شود. این پژوهش یک آنالیز ثانویه (Secondary Analysis) بر روی داده‌های موجود است.</w:t>
      </w:r>
    </w:p>
    <w:p w:rsidR="002D7383" w:rsidRPr="008E1DB5" w:rsidRDefault="00B91B00" w:rsidP="008E1DB5">
      <w:pPr>
        <w:bidi/>
        <w:spacing w:after="80" w:line="360" w:lineRule="auto"/>
        <w:rPr>
          <w:bCs/>
        </w:rPr>
      </w:pPr>
      <w:r w:rsidRPr="008E1DB5">
        <w:rPr>
          <w:bCs/>
          <w:color w:val="000000"/>
          <w:sz w:val="24"/>
          <w:rtl/>
        </w:rPr>
        <w:t>۲-۹-۲- جمعیت مورد مطالعه و معیارهای ورود:</w:t>
      </w:r>
    </w:p>
    <w:p w:rsidR="002D7383" w:rsidRDefault="00B91B00" w:rsidP="008E1DB5">
      <w:pPr>
        <w:bidi/>
        <w:spacing w:after="100" w:line="360" w:lineRule="auto"/>
        <w:ind w:firstLine="283"/>
      </w:pPr>
      <w:r>
        <w:rPr>
          <w:color w:val="000000"/>
          <w:sz w:val="24"/>
          <w:rtl/>
        </w:rPr>
        <w:t>کلیه شرکت‌کنندگان TLGS (از فاز سوم به بعد که داده‌های کامل‌تری در دسترس است) که در هر فازی از مطالعه سن &lt; ۲۰ سال داشته و در دسته‌بندی MONW، MHO یا MHNW قرار می‌گیرند، و حداقل در ۲ فاز پیگیری پیگیری شده باشند.</w:t>
      </w:r>
    </w:p>
    <w:p w:rsidR="002D7383" w:rsidRDefault="00B91B00" w:rsidP="008E1DB5">
      <w:pPr>
        <w:bidi/>
        <w:spacing w:after="100" w:line="360" w:lineRule="auto"/>
        <w:ind w:firstLine="283"/>
      </w:pPr>
      <w:r>
        <w:rPr>
          <w:color w:val="000000"/>
          <w:sz w:val="24"/>
          <w:rtl/>
        </w:rPr>
        <w:t>معیارهای ورود: ۱) سن &lt; ۲۰ سال در حداقل یک فاز TLGS؛ ۲) وجود داده‌های کافی برای تعیین فنوتیپ (BMI، WC، TG، HDL، FBG، BP)؛ ۳) وجود حداقل ۲ اندازه‌گیری کراتینین سرم برای محاسبه eGFR trajectory</w:t>
      </w:r>
    </w:p>
    <w:p w:rsidR="002D7383" w:rsidRDefault="00B91B00" w:rsidP="008E1DB5">
      <w:pPr>
        <w:bidi/>
        <w:spacing w:after="100" w:line="360" w:lineRule="auto"/>
        <w:ind w:firstLine="283"/>
      </w:pPr>
      <w:r>
        <w:rPr>
          <w:color w:val="000000"/>
          <w:sz w:val="24"/>
          <w:rtl/>
        </w:rPr>
        <w:t>معیارهای خروج: ۱) CKD تأییدشده در ابتدای مطالعه (baseline) — برای حفظ ماهیت incident analysis؛ ۲) بیماری کلیوی مادرزادی یا ساختاری؛ ۳) سابقه پیوند کلیه یا دیالیز؛ ۴) داده‌های ناقص بحرانی در بیش از ۵۰٪ ویزیت‌ها</w:t>
      </w:r>
    </w:p>
    <w:p w:rsidR="002D7383" w:rsidRPr="008E1DB5" w:rsidRDefault="00B91B00" w:rsidP="008E1DB5">
      <w:pPr>
        <w:bidi/>
        <w:spacing w:after="80" w:line="360" w:lineRule="auto"/>
        <w:rPr>
          <w:bCs/>
        </w:rPr>
      </w:pPr>
      <w:r w:rsidRPr="008E1DB5">
        <w:rPr>
          <w:bCs/>
          <w:color w:val="000000"/>
          <w:sz w:val="24"/>
          <w:rtl/>
        </w:rPr>
        <w:t>۲-۹-۳- روش جمع‌آوری اطلاعات:</w:t>
      </w:r>
    </w:p>
    <w:p w:rsidR="002D7383" w:rsidRDefault="00B91B00" w:rsidP="008E1DB5">
      <w:pPr>
        <w:bidi/>
        <w:spacing w:after="100" w:line="360" w:lineRule="auto"/>
        <w:ind w:firstLine="283"/>
      </w:pPr>
      <w:r>
        <w:rPr>
          <w:color w:val="000000"/>
          <w:sz w:val="24"/>
          <w:rtl/>
        </w:rPr>
        <w:t>استخراج داده از پایگاه داده TLGS پس از اخذ مجوز از پژوهشکده علوم غدد درون‌ریز شهید بهشتی. هیچ مداخله یا تماس مستقیم با شرکت‌کنندگان انجام نمی‌شود. داده‌ها به صورت ناشناس و با حذف اطلاعات هویتی پردازش می‌شوند.</w:t>
      </w:r>
    </w:p>
    <w:p w:rsidR="002D7383" w:rsidRPr="008E1DB5" w:rsidRDefault="00B91B00" w:rsidP="008E1DB5">
      <w:pPr>
        <w:bidi/>
        <w:spacing w:after="80" w:line="360" w:lineRule="auto"/>
        <w:rPr>
          <w:bCs/>
        </w:rPr>
      </w:pPr>
      <w:r w:rsidRPr="008E1DB5">
        <w:rPr>
          <w:bCs/>
          <w:color w:val="000000"/>
          <w:sz w:val="24"/>
          <w:rtl/>
        </w:rPr>
        <w:t>۲-۹-۴- حجم نمونه:</w:t>
      </w:r>
    </w:p>
    <w:p w:rsidR="002D7383" w:rsidRDefault="00B91B00" w:rsidP="008E1DB5">
      <w:pPr>
        <w:bidi/>
        <w:spacing w:after="100" w:line="360" w:lineRule="auto"/>
        <w:ind w:firstLine="283"/>
      </w:pPr>
      <w:r>
        <w:rPr>
          <w:color w:val="000000"/>
          <w:sz w:val="24"/>
          <w:rtl/>
        </w:rPr>
        <w:t>سرشماری کامل واجدین شرایط. تخمین اولیه: با توجه به اینکه TLGS شامل شرکت‌کنندگان در طیف سنی گسترده است و پیگیری از فازهای مختلف آغاز می‌شود، تعداد نوجوانان با فنوتیپ MONW یا MHO برای تعیین دقیق حجم نمونه پس از استخراج داده محاسبه خواهد شد. محاسبه توان آماری با G*Power بر اساس اندازه اثر مطالعات مشابه انجام می‌شود.</w:t>
      </w:r>
    </w:p>
    <w:p w:rsidR="002D7383" w:rsidRPr="008E1DB5" w:rsidRDefault="00B91B00" w:rsidP="008E1DB5">
      <w:pPr>
        <w:bidi/>
        <w:spacing w:after="80" w:line="360" w:lineRule="auto"/>
        <w:rPr>
          <w:bCs/>
        </w:rPr>
      </w:pPr>
      <w:r w:rsidRPr="008E1DB5">
        <w:rPr>
          <w:bCs/>
          <w:color w:val="000000"/>
          <w:sz w:val="24"/>
          <w:rtl/>
        </w:rPr>
        <w:t>۲-۹-۵- روش‌های تجزیه و تحلیل آماری:</w:t>
      </w:r>
    </w:p>
    <w:p w:rsidR="002D7383" w:rsidRDefault="00B91B00" w:rsidP="008E1DB5">
      <w:pPr>
        <w:bidi/>
        <w:spacing w:after="100" w:line="360" w:lineRule="auto"/>
        <w:ind w:firstLine="283"/>
      </w:pPr>
      <w:r>
        <w:rPr>
          <w:color w:val="000000"/>
          <w:sz w:val="24"/>
          <w:rtl/>
        </w:rPr>
        <w:t>۱. توصیف جمعیت: متغیرهای کمی با میانگین±انحراف معیار (توزیع نرمال) یا میانه [IQR] (توزیع غیرنرمال) و متغیرهای کیفی با فراوانی و درصد. مقایسه بین سه گروه با ANOVA، Kruskal-Wallis، یا Chi-square.</w:t>
      </w:r>
    </w:p>
    <w:p w:rsidR="002D7383" w:rsidRDefault="00B91B00" w:rsidP="008E1DB5">
      <w:pPr>
        <w:bidi/>
        <w:spacing w:after="100" w:line="360" w:lineRule="auto"/>
        <w:ind w:firstLine="283"/>
      </w:pPr>
      <w:r>
        <w:rPr>
          <w:color w:val="000000"/>
          <w:sz w:val="24"/>
          <w:rtl/>
        </w:rPr>
        <w:t>۲. هدف ۲ (slope of eGFR): مدل خطی اثرات مختلط (Linear Mixed-Effects Model) با eGFR به عنوان متغیر وابسته و زمان×گروه فنوتیپ به عنوان interaction term. این مدل امکان استفاده از داده‌های ناقص و فواصل زمانی نامنظم را فراهم می‌کند.</w:t>
      </w:r>
    </w:p>
    <w:p w:rsidR="002D7383" w:rsidRDefault="00B91B00" w:rsidP="008E1DB5">
      <w:pPr>
        <w:bidi/>
        <w:spacing w:after="100" w:line="360" w:lineRule="auto"/>
        <w:ind w:firstLine="283"/>
      </w:pPr>
      <w:r>
        <w:rPr>
          <w:color w:val="000000"/>
          <w:sz w:val="24"/>
          <w:rtl/>
        </w:rPr>
        <w:t>۳. هدف ۳ و ۴ (بروز CKD و کاهش سریع eGFR): رگرسیون Cox با گروه MHNW به عنوان مرجع. Hazard Ratio (HR) با CI95 برای هر فنوتیپ گزارش می‌شود.</w:t>
      </w:r>
    </w:p>
    <w:p w:rsidR="002D7383" w:rsidRDefault="00B91B00" w:rsidP="008E1DB5">
      <w:pPr>
        <w:bidi/>
        <w:spacing w:after="100" w:line="360" w:lineRule="auto"/>
        <w:ind w:firstLine="283"/>
      </w:pPr>
      <w:r>
        <w:rPr>
          <w:color w:val="000000"/>
          <w:sz w:val="24"/>
          <w:rtl/>
        </w:rPr>
        <w:lastRenderedPageBreak/>
        <w:t>۴. ساخت مدل در سه مرحله: (الف) مدل خام؛ (ب) تعدیل سن و جنس؛ (ج) تعدیل کامل: سن، جنس، فعالیت بدنی، سیگار، پروتئینوری، سطح baseline eGFR.</w:t>
      </w:r>
    </w:p>
    <w:p w:rsidR="002D7383" w:rsidRDefault="00B91B00" w:rsidP="008E1DB5">
      <w:pPr>
        <w:bidi/>
        <w:spacing w:after="100" w:line="360" w:lineRule="auto"/>
        <w:ind w:firstLine="283"/>
      </w:pPr>
      <w:r>
        <w:rPr>
          <w:color w:val="000000"/>
          <w:sz w:val="24"/>
          <w:rtl/>
        </w:rPr>
        <w:t>۵. آنالیزهای تکمیلی: آنالیز حساسیت با تعاریف مختلف MONW/MHO، بررسی تعامل جنس با فنوتیپ، آنالیز subgroup بر اساس بازه سنی.</w:t>
      </w:r>
    </w:p>
    <w:p w:rsidR="002D7383" w:rsidRDefault="00B91B00" w:rsidP="008E1DB5">
      <w:pPr>
        <w:bidi/>
        <w:spacing w:after="100" w:line="360" w:lineRule="auto"/>
        <w:ind w:firstLine="283"/>
      </w:pPr>
      <w:r>
        <w:rPr>
          <w:color w:val="000000"/>
          <w:sz w:val="24"/>
          <w:rtl/>
        </w:rPr>
        <w:t>نرم‌افزار: R نسخه ۴.x یا STATA ۱۷. سطح معناداری: p &lt; 0.05 (دوطرفه).</w:t>
      </w:r>
    </w:p>
    <w:p w:rsidR="002D7383" w:rsidRPr="008E1DB5" w:rsidRDefault="00B91B00" w:rsidP="005C0839">
      <w:pPr>
        <w:bidi/>
        <w:spacing w:before="200" w:after="80"/>
        <w:rPr>
          <w:bCs/>
        </w:rPr>
      </w:pPr>
      <w:r w:rsidRPr="008E1DB5">
        <w:rPr>
          <w:bCs/>
          <w:color w:val="1F497D"/>
          <w:sz w:val="28"/>
          <w:rtl/>
        </w:rPr>
        <w:t>۲-۹-۹- جدول متغیرها:</w:t>
      </w:r>
    </w:p>
    <w:p w:rsidR="002D7383" w:rsidRDefault="002D7383" w:rsidP="005C0839">
      <w:pPr>
        <w:bidi/>
        <w:spacing w:after="40"/>
      </w:pPr>
    </w:p>
    <w:tbl>
      <w:tblPr>
        <w:tblStyle w:val="TableGrid"/>
        <w:tblW w:w="0" w:type="auto"/>
        <w:jc w:val="center"/>
        <w:tblLook w:val="04A0" w:firstRow="1" w:lastRow="0" w:firstColumn="1" w:lastColumn="0" w:noHBand="0" w:noVBand="1"/>
      </w:tblPr>
      <w:tblGrid>
        <w:gridCol w:w="664"/>
        <w:gridCol w:w="1619"/>
        <w:gridCol w:w="974"/>
        <w:gridCol w:w="1728"/>
        <w:gridCol w:w="2330"/>
        <w:gridCol w:w="2023"/>
      </w:tblGrid>
      <w:tr w:rsidR="002D7383" w:rsidTr="005C0839">
        <w:trPr>
          <w:jc w:val="center"/>
        </w:trPr>
        <w:tc>
          <w:tcPr>
            <w:tcW w:w="700" w:type="dxa"/>
            <w:vAlign w:val="center"/>
          </w:tcPr>
          <w:p w:rsidR="002D7383" w:rsidRPr="003A515B" w:rsidRDefault="00B91B00" w:rsidP="005C0839">
            <w:pPr>
              <w:bidi/>
              <w:jc w:val="center"/>
              <w:rPr>
                <w:bCs/>
              </w:rPr>
            </w:pPr>
            <w:r w:rsidRPr="003A515B">
              <w:rPr>
                <w:bCs/>
                <w:sz w:val="20"/>
                <w:rtl/>
              </w:rPr>
              <w:t>ردیف</w:t>
            </w:r>
          </w:p>
        </w:tc>
        <w:tc>
          <w:tcPr>
            <w:tcW w:w="2000" w:type="dxa"/>
            <w:vAlign w:val="center"/>
          </w:tcPr>
          <w:p w:rsidR="002D7383" w:rsidRPr="003A515B" w:rsidRDefault="00B91B00" w:rsidP="005C0839">
            <w:pPr>
              <w:bidi/>
              <w:jc w:val="center"/>
              <w:rPr>
                <w:bCs/>
              </w:rPr>
            </w:pPr>
            <w:r w:rsidRPr="003A515B">
              <w:rPr>
                <w:bCs/>
                <w:sz w:val="20"/>
                <w:rtl/>
              </w:rPr>
              <w:t>نام متغیر</w:t>
            </w:r>
          </w:p>
        </w:tc>
        <w:tc>
          <w:tcPr>
            <w:tcW w:w="1200" w:type="dxa"/>
            <w:vAlign w:val="center"/>
          </w:tcPr>
          <w:p w:rsidR="002D7383" w:rsidRPr="003A515B" w:rsidRDefault="00B91B00" w:rsidP="005C0839">
            <w:pPr>
              <w:bidi/>
              <w:jc w:val="center"/>
              <w:rPr>
                <w:bCs/>
              </w:rPr>
            </w:pPr>
            <w:r w:rsidRPr="003A515B">
              <w:rPr>
                <w:bCs/>
                <w:sz w:val="20"/>
                <w:rtl/>
              </w:rPr>
              <w:t>نوع</w:t>
            </w:r>
          </w:p>
        </w:tc>
        <w:tc>
          <w:tcPr>
            <w:tcW w:w="1800" w:type="dxa"/>
            <w:vAlign w:val="center"/>
          </w:tcPr>
          <w:p w:rsidR="002D7383" w:rsidRPr="003A515B" w:rsidRDefault="00B91B00" w:rsidP="005C0839">
            <w:pPr>
              <w:bidi/>
              <w:jc w:val="center"/>
              <w:rPr>
                <w:bCs/>
              </w:rPr>
            </w:pPr>
            <w:r w:rsidRPr="003A515B">
              <w:rPr>
                <w:bCs/>
                <w:sz w:val="20"/>
                <w:rtl/>
              </w:rPr>
              <w:t>نقش</w:t>
            </w:r>
          </w:p>
        </w:tc>
        <w:tc>
          <w:tcPr>
            <w:tcW w:w="3200" w:type="dxa"/>
            <w:vAlign w:val="center"/>
          </w:tcPr>
          <w:p w:rsidR="002D7383" w:rsidRPr="003A515B" w:rsidRDefault="00B91B00" w:rsidP="005C0839">
            <w:pPr>
              <w:bidi/>
              <w:jc w:val="center"/>
              <w:rPr>
                <w:bCs/>
              </w:rPr>
            </w:pPr>
            <w:r w:rsidRPr="003A515B">
              <w:rPr>
                <w:bCs/>
                <w:sz w:val="20"/>
                <w:rtl/>
              </w:rPr>
              <w:t>تعریف عملی</w:t>
            </w:r>
          </w:p>
        </w:tc>
        <w:tc>
          <w:tcPr>
            <w:tcW w:w="1800" w:type="dxa"/>
            <w:vAlign w:val="center"/>
          </w:tcPr>
          <w:p w:rsidR="002D7383" w:rsidRPr="003A515B" w:rsidRDefault="00B91B00" w:rsidP="005C0839">
            <w:pPr>
              <w:bidi/>
              <w:jc w:val="center"/>
              <w:rPr>
                <w:bCs/>
              </w:rPr>
            </w:pPr>
            <w:r w:rsidRPr="003A515B">
              <w:rPr>
                <w:bCs/>
                <w:sz w:val="20"/>
                <w:rtl/>
              </w:rPr>
              <w:t>واحد/اندازه‌گیری</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w:t>
            </w:r>
          </w:p>
        </w:tc>
        <w:tc>
          <w:tcPr>
            <w:tcW w:w="2000" w:type="dxa"/>
            <w:vAlign w:val="center"/>
          </w:tcPr>
          <w:p w:rsidR="002D7383" w:rsidRDefault="00B91B00" w:rsidP="005C0839">
            <w:pPr>
              <w:bidi/>
              <w:jc w:val="center"/>
            </w:pPr>
            <w:r>
              <w:rPr>
                <w:sz w:val="20"/>
                <w:rtl/>
              </w:rPr>
              <w:t>فنوتیپ چاقی نوجوانی</w:t>
            </w:r>
          </w:p>
        </w:tc>
        <w:tc>
          <w:tcPr>
            <w:tcW w:w="1200" w:type="dxa"/>
            <w:vAlign w:val="center"/>
          </w:tcPr>
          <w:p w:rsidR="002D7383" w:rsidRDefault="00B91B00" w:rsidP="005C0839">
            <w:pPr>
              <w:bidi/>
              <w:jc w:val="center"/>
            </w:pPr>
            <w:r>
              <w:rPr>
                <w:sz w:val="20"/>
                <w:rtl/>
              </w:rPr>
              <w:t>اسمی</w:t>
            </w:r>
          </w:p>
        </w:tc>
        <w:tc>
          <w:tcPr>
            <w:tcW w:w="1800" w:type="dxa"/>
            <w:vAlign w:val="center"/>
          </w:tcPr>
          <w:p w:rsidR="002D7383" w:rsidRDefault="00B91B00" w:rsidP="005C0839">
            <w:pPr>
              <w:bidi/>
              <w:jc w:val="center"/>
            </w:pPr>
            <w:r>
              <w:rPr>
                <w:sz w:val="20"/>
                <w:rtl/>
              </w:rPr>
              <w:t>مستقل اصلی</w:t>
            </w:r>
          </w:p>
        </w:tc>
        <w:tc>
          <w:tcPr>
            <w:tcW w:w="3200" w:type="dxa"/>
            <w:vAlign w:val="center"/>
          </w:tcPr>
          <w:p w:rsidR="002D7383" w:rsidRDefault="00B91B00" w:rsidP="005C0839">
            <w:pPr>
              <w:bidi/>
              <w:jc w:val="center"/>
            </w:pPr>
            <w:r>
              <w:rPr>
                <w:sz w:val="20"/>
                <w:rtl/>
              </w:rPr>
              <w:t>MONW / MHO / MHNW بر اساس BMI و وضعیت متابولیک در سن &lt; ۲۰ سال</w:t>
            </w:r>
          </w:p>
        </w:tc>
        <w:tc>
          <w:tcPr>
            <w:tcW w:w="1800" w:type="dxa"/>
            <w:vAlign w:val="center"/>
          </w:tcPr>
          <w:p w:rsidR="002D7383" w:rsidRDefault="00B91B00" w:rsidP="005C0839">
            <w:pPr>
              <w:bidi/>
              <w:jc w:val="center"/>
            </w:pPr>
            <w:r>
              <w:rPr>
                <w:sz w:val="20"/>
                <w:rtl/>
              </w:rPr>
              <w:t>طبقه‌بندی</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۲</w:t>
            </w:r>
          </w:p>
        </w:tc>
        <w:tc>
          <w:tcPr>
            <w:tcW w:w="2000" w:type="dxa"/>
            <w:vAlign w:val="center"/>
          </w:tcPr>
          <w:p w:rsidR="002D7383" w:rsidRDefault="00B91B00" w:rsidP="005C0839">
            <w:pPr>
              <w:bidi/>
              <w:jc w:val="center"/>
            </w:pPr>
            <w:r>
              <w:rPr>
                <w:sz w:val="20"/>
                <w:rtl/>
              </w:rPr>
              <w:t>Slope of eGFR</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وابسته اصلی</w:t>
            </w:r>
          </w:p>
        </w:tc>
        <w:tc>
          <w:tcPr>
            <w:tcW w:w="3200" w:type="dxa"/>
            <w:vAlign w:val="center"/>
          </w:tcPr>
          <w:p w:rsidR="002D7383" w:rsidRDefault="00B91B00" w:rsidP="005C0839">
            <w:pPr>
              <w:bidi/>
              <w:jc w:val="center"/>
            </w:pPr>
            <w:r>
              <w:rPr>
                <w:sz w:val="20"/>
                <w:rtl/>
              </w:rPr>
              <w:t>نرخ تغییر سالانه eGFR در دوره پیگیری</w:t>
            </w:r>
          </w:p>
        </w:tc>
        <w:tc>
          <w:tcPr>
            <w:tcW w:w="1800" w:type="dxa"/>
            <w:vAlign w:val="center"/>
          </w:tcPr>
          <w:p w:rsidR="002D7383" w:rsidRDefault="00B91B00" w:rsidP="005C0839">
            <w:pPr>
              <w:bidi/>
              <w:jc w:val="center"/>
            </w:pPr>
            <w:r>
              <w:rPr>
                <w:sz w:val="20"/>
                <w:rtl/>
              </w:rPr>
              <w:t>mL/min/1.73m²/سال</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۳</w:t>
            </w:r>
          </w:p>
        </w:tc>
        <w:tc>
          <w:tcPr>
            <w:tcW w:w="2000" w:type="dxa"/>
            <w:vAlign w:val="center"/>
          </w:tcPr>
          <w:p w:rsidR="002D7383" w:rsidRDefault="00B91B00" w:rsidP="005C0839">
            <w:pPr>
              <w:bidi/>
              <w:jc w:val="center"/>
            </w:pPr>
            <w:r>
              <w:rPr>
                <w:sz w:val="20"/>
                <w:rtl/>
              </w:rPr>
              <w:t>بروز CKD</w:t>
            </w:r>
          </w:p>
        </w:tc>
        <w:tc>
          <w:tcPr>
            <w:tcW w:w="1200" w:type="dxa"/>
            <w:vAlign w:val="center"/>
          </w:tcPr>
          <w:p w:rsidR="002D7383" w:rsidRDefault="00B91B00" w:rsidP="005C0839">
            <w:pPr>
              <w:bidi/>
              <w:jc w:val="center"/>
            </w:pPr>
            <w:r>
              <w:rPr>
                <w:sz w:val="20"/>
                <w:rtl/>
              </w:rPr>
              <w:t>دوتایی</w:t>
            </w:r>
          </w:p>
        </w:tc>
        <w:tc>
          <w:tcPr>
            <w:tcW w:w="1800" w:type="dxa"/>
            <w:vAlign w:val="center"/>
          </w:tcPr>
          <w:p w:rsidR="002D7383" w:rsidRDefault="00B91B00" w:rsidP="005C0839">
            <w:pPr>
              <w:bidi/>
              <w:jc w:val="center"/>
            </w:pPr>
            <w:r>
              <w:rPr>
                <w:sz w:val="20"/>
                <w:rtl/>
              </w:rPr>
              <w:t>وابسته ثانوی</w:t>
            </w:r>
          </w:p>
        </w:tc>
        <w:tc>
          <w:tcPr>
            <w:tcW w:w="3200" w:type="dxa"/>
            <w:vAlign w:val="center"/>
          </w:tcPr>
          <w:p w:rsidR="002D7383" w:rsidRDefault="00B91B00" w:rsidP="005C0839">
            <w:pPr>
              <w:bidi/>
              <w:jc w:val="center"/>
            </w:pPr>
            <w:r>
              <w:rPr>
                <w:sz w:val="20"/>
                <w:rtl/>
              </w:rPr>
              <w:t>اولین ثبت eGFR &lt; 60 در ≥ ۲ ویزیت در طول پیگیری</w:t>
            </w:r>
          </w:p>
        </w:tc>
        <w:tc>
          <w:tcPr>
            <w:tcW w:w="1800" w:type="dxa"/>
            <w:vAlign w:val="center"/>
          </w:tcPr>
          <w:p w:rsidR="002D7383" w:rsidRDefault="00B91B00" w:rsidP="005C0839">
            <w:pPr>
              <w:bidi/>
              <w:jc w:val="center"/>
            </w:pPr>
            <w:r>
              <w:rPr>
                <w:sz w:val="20"/>
                <w:rtl/>
              </w:rPr>
              <w:t>بله/خیر</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۴</w:t>
            </w:r>
          </w:p>
        </w:tc>
        <w:tc>
          <w:tcPr>
            <w:tcW w:w="2000" w:type="dxa"/>
            <w:vAlign w:val="center"/>
          </w:tcPr>
          <w:p w:rsidR="002D7383" w:rsidRDefault="00B91B00" w:rsidP="005C0839">
            <w:pPr>
              <w:bidi/>
              <w:jc w:val="center"/>
            </w:pPr>
            <w:r>
              <w:rPr>
                <w:sz w:val="20"/>
                <w:rtl/>
              </w:rPr>
              <w:t>کاهش ≥۳۰٪ eGFR</w:t>
            </w:r>
          </w:p>
        </w:tc>
        <w:tc>
          <w:tcPr>
            <w:tcW w:w="1200" w:type="dxa"/>
            <w:vAlign w:val="center"/>
          </w:tcPr>
          <w:p w:rsidR="002D7383" w:rsidRDefault="00B91B00" w:rsidP="005C0839">
            <w:pPr>
              <w:bidi/>
              <w:jc w:val="center"/>
            </w:pPr>
            <w:r>
              <w:rPr>
                <w:sz w:val="20"/>
                <w:rtl/>
              </w:rPr>
              <w:t>دوتایی</w:t>
            </w:r>
          </w:p>
        </w:tc>
        <w:tc>
          <w:tcPr>
            <w:tcW w:w="1800" w:type="dxa"/>
            <w:vAlign w:val="center"/>
          </w:tcPr>
          <w:p w:rsidR="002D7383" w:rsidRDefault="00B91B00" w:rsidP="005C0839">
            <w:pPr>
              <w:bidi/>
              <w:jc w:val="center"/>
            </w:pPr>
            <w:r>
              <w:rPr>
                <w:sz w:val="20"/>
                <w:rtl/>
              </w:rPr>
              <w:t>وابسته ثانوی</w:t>
            </w:r>
          </w:p>
        </w:tc>
        <w:tc>
          <w:tcPr>
            <w:tcW w:w="3200" w:type="dxa"/>
            <w:vAlign w:val="center"/>
          </w:tcPr>
          <w:p w:rsidR="002D7383" w:rsidRDefault="00B91B00" w:rsidP="005C0839">
            <w:pPr>
              <w:bidi/>
              <w:jc w:val="center"/>
            </w:pPr>
            <w:r>
              <w:rPr>
                <w:sz w:val="20"/>
                <w:rtl/>
              </w:rPr>
              <w:t>کاهش eGFR ≥ ۳۰٪ از مقدار baseline</w:t>
            </w:r>
          </w:p>
        </w:tc>
        <w:tc>
          <w:tcPr>
            <w:tcW w:w="1800" w:type="dxa"/>
            <w:vAlign w:val="center"/>
          </w:tcPr>
          <w:p w:rsidR="002D7383" w:rsidRDefault="00B91B00" w:rsidP="005C0839">
            <w:pPr>
              <w:bidi/>
              <w:jc w:val="center"/>
            </w:pPr>
            <w:r>
              <w:rPr>
                <w:sz w:val="20"/>
                <w:rtl/>
              </w:rPr>
              <w:t>بله/خیر</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۵</w:t>
            </w:r>
          </w:p>
        </w:tc>
        <w:tc>
          <w:tcPr>
            <w:tcW w:w="2000" w:type="dxa"/>
            <w:vAlign w:val="center"/>
          </w:tcPr>
          <w:p w:rsidR="002D7383" w:rsidRDefault="00B91B00" w:rsidP="005C0839">
            <w:pPr>
              <w:bidi/>
              <w:jc w:val="center"/>
            </w:pPr>
            <w:r>
              <w:rPr>
                <w:sz w:val="20"/>
                <w:rtl/>
              </w:rPr>
              <w:t>سن در baseline</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مخدوش‌کننده</w:t>
            </w:r>
          </w:p>
        </w:tc>
        <w:tc>
          <w:tcPr>
            <w:tcW w:w="3200" w:type="dxa"/>
            <w:vAlign w:val="center"/>
          </w:tcPr>
          <w:p w:rsidR="002D7383" w:rsidRDefault="00B91B00" w:rsidP="005C0839">
            <w:pPr>
              <w:bidi/>
              <w:jc w:val="center"/>
            </w:pPr>
            <w:r>
              <w:rPr>
                <w:sz w:val="20"/>
                <w:rtl/>
              </w:rPr>
              <w:t>سن در اولین ویزیت واجد شرایط در TLGS</w:t>
            </w:r>
          </w:p>
        </w:tc>
        <w:tc>
          <w:tcPr>
            <w:tcW w:w="1800" w:type="dxa"/>
            <w:vAlign w:val="center"/>
          </w:tcPr>
          <w:p w:rsidR="002D7383" w:rsidRDefault="00B91B00" w:rsidP="005C0839">
            <w:pPr>
              <w:bidi/>
              <w:jc w:val="center"/>
            </w:pPr>
            <w:r>
              <w:rPr>
                <w:sz w:val="20"/>
                <w:rtl/>
              </w:rPr>
              <w:t>سال</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۶</w:t>
            </w:r>
          </w:p>
        </w:tc>
        <w:tc>
          <w:tcPr>
            <w:tcW w:w="2000" w:type="dxa"/>
            <w:vAlign w:val="center"/>
          </w:tcPr>
          <w:p w:rsidR="002D7383" w:rsidRDefault="00B91B00" w:rsidP="005C0839">
            <w:pPr>
              <w:bidi/>
              <w:jc w:val="center"/>
            </w:pPr>
            <w:r>
              <w:rPr>
                <w:sz w:val="20"/>
                <w:rtl/>
              </w:rPr>
              <w:t>جنس</w:t>
            </w:r>
          </w:p>
        </w:tc>
        <w:tc>
          <w:tcPr>
            <w:tcW w:w="1200" w:type="dxa"/>
            <w:vAlign w:val="center"/>
          </w:tcPr>
          <w:p w:rsidR="002D7383" w:rsidRDefault="00B91B00" w:rsidP="005C0839">
            <w:pPr>
              <w:bidi/>
              <w:jc w:val="center"/>
            </w:pPr>
            <w:r>
              <w:rPr>
                <w:sz w:val="20"/>
                <w:rtl/>
              </w:rPr>
              <w:t>دوتایی</w:t>
            </w:r>
          </w:p>
        </w:tc>
        <w:tc>
          <w:tcPr>
            <w:tcW w:w="1800" w:type="dxa"/>
            <w:vAlign w:val="center"/>
          </w:tcPr>
          <w:p w:rsidR="002D7383" w:rsidRDefault="00B91B00" w:rsidP="005C0839">
            <w:pPr>
              <w:bidi/>
              <w:jc w:val="center"/>
            </w:pPr>
            <w:r>
              <w:rPr>
                <w:sz w:val="20"/>
                <w:rtl/>
              </w:rPr>
              <w:t>مخدوش‌کننده</w:t>
            </w:r>
          </w:p>
        </w:tc>
        <w:tc>
          <w:tcPr>
            <w:tcW w:w="3200" w:type="dxa"/>
            <w:vAlign w:val="center"/>
          </w:tcPr>
          <w:p w:rsidR="002D7383" w:rsidRDefault="00B91B00" w:rsidP="005C0839">
            <w:pPr>
              <w:bidi/>
              <w:jc w:val="center"/>
            </w:pPr>
            <w:r>
              <w:rPr>
                <w:sz w:val="20"/>
                <w:rtl/>
              </w:rPr>
              <w:t>مرد/زن</w:t>
            </w:r>
          </w:p>
        </w:tc>
        <w:tc>
          <w:tcPr>
            <w:tcW w:w="1800" w:type="dxa"/>
            <w:vAlign w:val="center"/>
          </w:tcPr>
          <w:p w:rsidR="002D7383" w:rsidRDefault="00B91B00" w:rsidP="005C0839">
            <w:pPr>
              <w:bidi/>
              <w:jc w:val="center"/>
            </w:pPr>
            <w:r>
              <w:rPr>
                <w:sz w:val="20"/>
                <w:rtl/>
              </w:rPr>
              <w:t>مرد=۱/زن=۰</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۷</w:t>
            </w:r>
          </w:p>
        </w:tc>
        <w:tc>
          <w:tcPr>
            <w:tcW w:w="2000" w:type="dxa"/>
            <w:vAlign w:val="center"/>
          </w:tcPr>
          <w:p w:rsidR="002D7383" w:rsidRDefault="00B91B00" w:rsidP="005C0839">
            <w:pPr>
              <w:bidi/>
              <w:jc w:val="center"/>
            </w:pPr>
            <w:r>
              <w:rPr>
                <w:sz w:val="20"/>
                <w:rtl/>
              </w:rPr>
              <w:t>BMI</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مخدوش‌کننده/مؤلفه فنوتیپ</w:t>
            </w:r>
          </w:p>
        </w:tc>
        <w:tc>
          <w:tcPr>
            <w:tcW w:w="3200" w:type="dxa"/>
            <w:vAlign w:val="center"/>
          </w:tcPr>
          <w:p w:rsidR="002D7383" w:rsidRDefault="00B91B00" w:rsidP="005C0839">
            <w:pPr>
              <w:bidi/>
              <w:jc w:val="center"/>
            </w:pPr>
            <w:r>
              <w:rPr>
                <w:sz w:val="20"/>
                <w:rtl/>
              </w:rPr>
              <w:t>وزن÷(قد)² در هر فاز TLGS</w:t>
            </w:r>
          </w:p>
        </w:tc>
        <w:tc>
          <w:tcPr>
            <w:tcW w:w="1800" w:type="dxa"/>
            <w:vAlign w:val="center"/>
          </w:tcPr>
          <w:p w:rsidR="002D7383" w:rsidRDefault="00B91B00" w:rsidP="005C0839">
            <w:pPr>
              <w:bidi/>
              <w:jc w:val="center"/>
            </w:pPr>
            <w:r>
              <w:rPr>
                <w:sz w:val="20"/>
                <w:rtl/>
              </w:rPr>
              <w:t>kg/m²</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۸</w:t>
            </w:r>
          </w:p>
        </w:tc>
        <w:tc>
          <w:tcPr>
            <w:tcW w:w="2000" w:type="dxa"/>
            <w:vAlign w:val="center"/>
          </w:tcPr>
          <w:p w:rsidR="002D7383" w:rsidRDefault="00B91B00" w:rsidP="005C0839">
            <w:pPr>
              <w:bidi/>
              <w:jc w:val="center"/>
            </w:pPr>
            <w:r>
              <w:rPr>
                <w:sz w:val="20"/>
                <w:rtl/>
              </w:rPr>
              <w:t>دور کمر (WC)</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مخدوش‌کننده/مؤلفه فنوتیپ</w:t>
            </w:r>
          </w:p>
        </w:tc>
        <w:tc>
          <w:tcPr>
            <w:tcW w:w="3200" w:type="dxa"/>
            <w:vAlign w:val="center"/>
          </w:tcPr>
          <w:p w:rsidR="002D7383" w:rsidRDefault="00B91B00" w:rsidP="005C0839">
            <w:pPr>
              <w:bidi/>
              <w:jc w:val="center"/>
            </w:pPr>
            <w:r>
              <w:rPr>
                <w:sz w:val="20"/>
                <w:rtl/>
              </w:rPr>
              <w:t>اندازه‌گیری WC در هر فاز</w:t>
            </w:r>
          </w:p>
        </w:tc>
        <w:tc>
          <w:tcPr>
            <w:tcW w:w="1800" w:type="dxa"/>
            <w:vAlign w:val="center"/>
          </w:tcPr>
          <w:p w:rsidR="002D7383" w:rsidRDefault="00B91B00" w:rsidP="005C0839">
            <w:pPr>
              <w:bidi/>
              <w:jc w:val="center"/>
            </w:pPr>
            <w:r>
              <w:rPr>
                <w:sz w:val="20"/>
                <w:rtl/>
              </w:rPr>
              <w:t>سانتی‌متر</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۹</w:t>
            </w:r>
          </w:p>
        </w:tc>
        <w:tc>
          <w:tcPr>
            <w:tcW w:w="2000" w:type="dxa"/>
            <w:vAlign w:val="center"/>
          </w:tcPr>
          <w:p w:rsidR="002D7383" w:rsidRDefault="00B91B00" w:rsidP="005C0839">
            <w:pPr>
              <w:bidi/>
              <w:jc w:val="center"/>
            </w:pPr>
            <w:r>
              <w:rPr>
                <w:sz w:val="20"/>
                <w:rtl/>
              </w:rPr>
              <w:t>تری‌گلیسیرید (TG)</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مؤلفه فنوتیپ/مخدوش‌کننده</w:t>
            </w:r>
          </w:p>
        </w:tc>
        <w:tc>
          <w:tcPr>
            <w:tcW w:w="3200" w:type="dxa"/>
            <w:vAlign w:val="center"/>
          </w:tcPr>
          <w:p w:rsidR="002D7383" w:rsidRDefault="00B91B00" w:rsidP="005C0839">
            <w:pPr>
              <w:bidi/>
              <w:jc w:val="center"/>
            </w:pPr>
            <w:r>
              <w:rPr>
                <w:sz w:val="20"/>
                <w:rtl/>
              </w:rPr>
              <w:t>TG سرم ناشتا</w:t>
            </w:r>
          </w:p>
        </w:tc>
        <w:tc>
          <w:tcPr>
            <w:tcW w:w="1800" w:type="dxa"/>
            <w:vAlign w:val="center"/>
          </w:tcPr>
          <w:p w:rsidR="002D7383" w:rsidRDefault="00B91B00" w:rsidP="005C0839">
            <w:pPr>
              <w:bidi/>
              <w:jc w:val="center"/>
            </w:pPr>
            <w:r>
              <w:rPr>
                <w:sz w:val="20"/>
                <w:rtl/>
              </w:rPr>
              <w:t>mg/dL</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۱۰</w:t>
            </w:r>
          </w:p>
        </w:tc>
        <w:tc>
          <w:tcPr>
            <w:tcW w:w="2000" w:type="dxa"/>
            <w:vAlign w:val="center"/>
          </w:tcPr>
          <w:p w:rsidR="002D7383" w:rsidRDefault="00B91B00" w:rsidP="005C0839">
            <w:pPr>
              <w:bidi/>
              <w:jc w:val="center"/>
            </w:pPr>
            <w:r>
              <w:rPr>
                <w:sz w:val="20"/>
                <w:rtl/>
              </w:rPr>
              <w:t>HDL-C</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مؤلفه فنوتیپ/مخدوش‌کننده</w:t>
            </w:r>
          </w:p>
        </w:tc>
        <w:tc>
          <w:tcPr>
            <w:tcW w:w="3200" w:type="dxa"/>
            <w:vAlign w:val="center"/>
          </w:tcPr>
          <w:p w:rsidR="002D7383" w:rsidRDefault="00B91B00" w:rsidP="005C0839">
            <w:pPr>
              <w:bidi/>
              <w:jc w:val="center"/>
            </w:pPr>
            <w:r>
              <w:rPr>
                <w:sz w:val="20"/>
                <w:rtl/>
              </w:rPr>
              <w:t>کلسترول HDL سرم</w:t>
            </w:r>
          </w:p>
        </w:tc>
        <w:tc>
          <w:tcPr>
            <w:tcW w:w="1800" w:type="dxa"/>
            <w:vAlign w:val="center"/>
          </w:tcPr>
          <w:p w:rsidR="002D7383" w:rsidRDefault="00B91B00" w:rsidP="005C0839">
            <w:pPr>
              <w:bidi/>
              <w:jc w:val="center"/>
            </w:pPr>
            <w:r>
              <w:rPr>
                <w:sz w:val="20"/>
                <w:rtl/>
              </w:rPr>
              <w:t>mg/dL</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۱۱</w:t>
            </w:r>
          </w:p>
        </w:tc>
        <w:tc>
          <w:tcPr>
            <w:tcW w:w="2000" w:type="dxa"/>
            <w:vAlign w:val="center"/>
          </w:tcPr>
          <w:p w:rsidR="002D7383" w:rsidRDefault="00B91B00" w:rsidP="005C0839">
            <w:pPr>
              <w:bidi/>
              <w:jc w:val="center"/>
            </w:pPr>
            <w:r>
              <w:rPr>
                <w:sz w:val="20"/>
                <w:rtl/>
              </w:rPr>
              <w:t>قند ناشتا (FBG)</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مؤلفه فنوتیپ/مخدوش‌کننده</w:t>
            </w:r>
          </w:p>
        </w:tc>
        <w:tc>
          <w:tcPr>
            <w:tcW w:w="3200" w:type="dxa"/>
            <w:vAlign w:val="center"/>
          </w:tcPr>
          <w:p w:rsidR="002D7383" w:rsidRDefault="00B91B00" w:rsidP="005C0839">
            <w:pPr>
              <w:bidi/>
              <w:jc w:val="center"/>
            </w:pPr>
            <w:r>
              <w:rPr>
                <w:sz w:val="20"/>
                <w:rtl/>
              </w:rPr>
              <w:t>گلوکز خون ناشتا</w:t>
            </w:r>
          </w:p>
        </w:tc>
        <w:tc>
          <w:tcPr>
            <w:tcW w:w="1800" w:type="dxa"/>
            <w:vAlign w:val="center"/>
          </w:tcPr>
          <w:p w:rsidR="002D7383" w:rsidRDefault="00B91B00" w:rsidP="005C0839">
            <w:pPr>
              <w:bidi/>
              <w:jc w:val="center"/>
            </w:pPr>
            <w:r>
              <w:rPr>
                <w:sz w:val="20"/>
                <w:rtl/>
              </w:rPr>
              <w:t>mg/dL</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۱۲</w:t>
            </w:r>
          </w:p>
        </w:tc>
        <w:tc>
          <w:tcPr>
            <w:tcW w:w="2000" w:type="dxa"/>
            <w:vAlign w:val="center"/>
          </w:tcPr>
          <w:p w:rsidR="002D7383" w:rsidRDefault="00B91B00" w:rsidP="005C0839">
            <w:pPr>
              <w:bidi/>
              <w:jc w:val="center"/>
            </w:pPr>
            <w:r>
              <w:rPr>
                <w:sz w:val="20"/>
                <w:rtl/>
              </w:rPr>
              <w:t>فشار خون</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مؤلفه فنوتیپ/مخدوش‌کننده</w:t>
            </w:r>
          </w:p>
        </w:tc>
        <w:tc>
          <w:tcPr>
            <w:tcW w:w="3200" w:type="dxa"/>
            <w:vAlign w:val="center"/>
          </w:tcPr>
          <w:p w:rsidR="002D7383" w:rsidRDefault="00B91B00" w:rsidP="005C0839">
            <w:pPr>
              <w:bidi/>
              <w:jc w:val="center"/>
            </w:pPr>
            <w:r>
              <w:rPr>
                <w:sz w:val="20"/>
                <w:rtl/>
              </w:rPr>
              <w:t>SBP/DBP در هر فاز TLGS</w:t>
            </w:r>
          </w:p>
        </w:tc>
        <w:tc>
          <w:tcPr>
            <w:tcW w:w="1800" w:type="dxa"/>
            <w:vAlign w:val="center"/>
          </w:tcPr>
          <w:p w:rsidR="002D7383" w:rsidRDefault="00B91B00" w:rsidP="005C0839">
            <w:pPr>
              <w:bidi/>
              <w:jc w:val="center"/>
            </w:pPr>
            <w:r>
              <w:rPr>
                <w:sz w:val="20"/>
                <w:rtl/>
              </w:rPr>
              <w:t>mmHg</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۱۳</w:t>
            </w:r>
          </w:p>
        </w:tc>
        <w:tc>
          <w:tcPr>
            <w:tcW w:w="2000" w:type="dxa"/>
            <w:vAlign w:val="center"/>
          </w:tcPr>
          <w:p w:rsidR="002D7383" w:rsidRDefault="00B91B00" w:rsidP="005C0839">
            <w:pPr>
              <w:bidi/>
              <w:jc w:val="center"/>
            </w:pPr>
            <w:r>
              <w:rPr>
                <w:sz w:val="20"/>
                <w:rtl/>
              </w:rPr>
              <w:t>eGFR baseline</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مخدوش‌کننده</w:t>
            </w:r>
          </w:p>
        </w:tc>
        <w:tc>
          <w:tcPr>
            <w:tcW w:w="3200" w:type="dxa"/>
            <w:vAlign w:val="center"/>
          </w:tcPr>
          <w:p w:rsidR="002D7383" w:rsidRDefault="00B91B00" w:rsidP="005C0839">
            <w:pPr>
              <w:bidi/>
              <w:jc w:val="center"/>
            </w:pPr>
            <w:r>
              <w:rPr>
                <w:sz w:val="20"/>
                <w:rtl/>
              </w:rPr>
              <w:t>eGFR بر اساس CKD-EPI در اولین ویزیت</w:t>
            </w:r>
          </w:p>
        </w:tc>
        <w:tc>
          <w:tcPr>
            <w:tcW w:w="1800" w:type="dxa"/>
            <w:vAlign w:val="center"/>
          </w:tcPr>
          <w:p w:rsidR="002D7383" w:rsidRDefault="00B91B00" w:rsidP="005C0839">
            <w:pPr>
              <w:bidi/>
              <w:jc w:val="center"/>
            </w:pPr>
            <w:r>
              <w:rPr>
                <w:sz w:val="20"/>
                <w:rtl/>
              </w:rPr>
              <w:t>mL/min/1.73m²</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۱۴</w:t>
            </w:r>
          </w:p>
        </w:tc>
        <w:tc>
          <w:tcPr>
            <w:tcW w:w="2000" w:type="dxa"/>
            <w:vAlign w:val="center"/>
          </w:tcPr>
          <w:p w:rsidR="002D7383" w:rsidRDefault="00B91B00" w:rsidP="005C0839">
            <w:pPr>
              <w:bidi/>
              <w:jc w:val="center"/>
            </w:pPr>
            <w:r>
              <w:rPr>
                <w:sz w:val="20"/>
                <w:rtl/>
              </w:rPr>
              <w:t>پروتئینوری</w:t>
            </w:r>
          </w:p>
        </w:tc>
        <w:tc>
          <w:tcPr>
            <w:tcW w:w="1200" w:type="dxa"/>
            <w:vAlign w:val="center"/>
          </w:tcPr>
          <w:p w:rsidR="002D7383" w:rsidRDefault="00B91B00" w:rsidP="005C0839">
            <w:pPr>
              <w:bidi/>
              <w:jc w:val="center"/>
            </w:pPr>
            <w:r>
              <w:rPr>
                <w:sz w:val="20"/>
                <w:rtl/>
              </w:rPr>
              <w:t>دوتایی</w:t>
            </w:r>
          </w:p>
        </w:tc>
        <w:tc>
          <w:tcPr>
            <w:tcW w:w="1800" w:type="dxa"/>
            <w:vAlign w:val="center"/>
          </w:tcPr>
          <w:p w:rsidR="002D7383" w:rsidRDefault="00B91B00" w:rsidP="005C0839">
            <w:pPr>
              <w:bidi/>
              <w:jc w:val="center"/>
            </w:pPr>
            <w:r>
              <w:rPr>
                <w:sz w:val="20"/>
                <w:rtl/>
              </w:rPr>
              <w:t>مخدوش/effect modifier</w:t>
            </w:r>
          </w:p>
        </w:tc>
        <w:tc>
          <w:tcPr>
            <w:tcW w:w="3200" w:type="dxa"/>
            <w:vAlign w:val="center"/>
          </w:tcPr>
          <w:p w:rsidR="002D7383" w:rsidRDefault="00B91B00" w:rsidP="005C0839">
            <w:pPr>
              <w:bidi/>
              <w:jc w:val="center"/>
            </w:pPr>
            <w:r>
              <w:rPr>
                <w:sz w:val="20"/>
                <w:rtl/>
              </w:rPr>
              <w:t>دیپ‌استیک ادرار ≥ 1+</w:t>
            </w:r>
          </w:p>
        </w:tc>
        <w:tc>
          <w:tcPr>
            <w:tcW w:w="1800" w:type="dxa"/>
            <w:vAlign w:val="center"/>
          </w:tcPr>
          <w:p w:rsidR="002D7383" w:rsidRDefault="00B91B00" w:rsidP="005C0839">
            <w:pPr>
              <w:bidi/>
              <w:jc w:val="center"/>
            </w:pPr>
            <w:r>
              <w:rPr>
                <w:sz w:val="20"/>
                <w:rtl/>
              </w:rPr>
              <w:t>بله/خیر</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۱۵</w:t>
            </w:r>
          </w:p>
        </w:tc>
        <w:tc>
          <w:tcPr>
            <w:tcW w:w="2000" w:type="dxa"/>
            <w:vAlign w:val="center"/>
          </w:tcPr>
          <w:p w:rsidR="002D7383" w:rsidRDefault="00B91B00" w:rsidP="005C0839">
            <w:pPr>
              <w:bidi/>
              <w:jc w:val="center"/>
            </w:pPr>
            <w:r>
              <w:rPr>
                <w:sz w:val="20"/>
                <w:rtl/>
              </w:rPr>
              <w:t>فعالیت بدنی</w:t>
            </w:r>
          </w:p>
        </w:tc>
        <w:tc>
          <w:tcPr>
            <w:tcW w:w="1200" w:type="dxa"/>
            <w:vAlign w:val="center"/>
          </w:tcPr>
          <w:p w:rsidR="002D7383" w:rsidRDefault="00B91B00" w:rsidP="005C0839">
            <w:pPr>
              <w:bidi/>
              <w:jc w:val="center"/>
            </w:pPr>
            <w:r>
              <w:rPr>
                <w:sz w:val="20"/>
                <w:rtl/>
              </w:rPr>
              <w:t>ترتیبی</w:t>
            </w:r>
          </w:p>
        </w:tc>
        <w:tc>
          <w:tcPr>
            <w:tcW w:w="1800" w:type="dxa"/>
            <w:vAlign w:val="center"/>
          </w:tcPr>
          <w:p w:rsidR="002D7383" w:rsidRDefault="00B91B00" w:rsidP="005C0839">
            <w:pPr>
              <w:bidi/>
              <w:jc w:val="center"/>
            </w:pPr>
            <w:r>
              <w:rPr>
                <w:sz w:val="20"/>
                <w:rtl/>
              </w:rPr>
              <w:t>مخدوش‌کننده</w:t>
            </w:r>
          </w:p>
        </w:tc>
        <w:tc>
          <w:tcPr>
            <w:tcW w:w="3200" w:type="dxa"/>
            <w:vAlign w:val="center"/>
          </w:tcPr>
          <w:p w:rsidR="002D7383" w:rsidRDefault="00B91B00" w:rsidP="005C0839">
            <w:pPr>
              <w:bidi/>
              <w:jc w:val="center"/>
            </w:pPr>
            <w:r>
              <w:rPr>
                <w:sz w:val="20"/>
                <w:rtl/>
              </w:rPr>
              <w:t>بر اساس پرسشنامه MAQ در TLGS</w:t>
            </w:r>
          </w:p>
        </w:tc>
        <w:tc>
          <w:tcPr>
            <w:tcW w:w="1800" w:type="dxa"/>
            <w:vAlign w:val="center"/>
          </w:tcPr>
          <w:p w:rsidR="002D7383" w:rsidRDefault="00B91B00" w:rsidP="005C0839">
            <w:pPr>
              <w:bidi/>
              <w:jc w:val="center"/>
            </w:pPr>
            <w:r>
              <w:rPr>
                <w:sz w:val="20"/>
                <w:rtl/>
              </w:rPr>
              <w:t>کم/متوسط/زیاد</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۱۶</w:t>
            </w:r>
          </w:p>
        </w:tc>
        <w:tc>
          <w:tcPr>
            <w:tcW w:w="2000" w:type="dxa"/>
            <w:vAlign w:val="center"/>
          </w:tcPr>
          <w:p w:rsidR="002D7383" w:rsidRDefault="00B91B00" w:rsidP="005C0839">
            <w:pPr>
              <w:bidi/>
              <w:jc w:val="center"/>
            </w:pPr>
            <w:r>
              <w:rPr>
                <w:sz w:val="20"/>
                <w:rtl/>
              </w:rPr>
              <w:t>سیگار</w:t>
            </w:r>
          </w:p>
        </w:tc>
        <w:tc>
          <w:tcPr>
            <w:tcW w:w="1200" w:type="dxa"/>
            <w:vAlign w:val="center"/>
          </w:tcPr>
          <w:p w:rsidR="002D7383" w:rsidRDefault="00B91B00" w:rsidP="005C0839">
            <w:pPr>
              <w:bidi/>
              <w:jc w:val="center"/>
            </w:pPr>
            <w:r>
              <w:rPr>
                <w:sz w:val="20"/>
                <w:rtl/>
              </w:rPr>
              <w:t>اسمی</w:t>
            </w:r>
          </w:p>
        </w:tc>
        <w:tc>
          <w:tcPr>
            <w:tcW w:w="1800" w:type="dxa"/>
            <w:vAlign w:val="center"/>
          </w:tcPr>
          <w:p w:rsidR="002D7383" w:rsidRDefault="00B91B00" w:rsidP="005C0839">
            <w:pPr>
              <w:bidi/>
              <w:jc w:val="center"/>
            </w:pPr>
            <w:r>
              <w:rPr>
                <w:sz w:val="20"/>
                <w:rtl/>
              </w:rPr>
              <w:t>مخدوش‌کننده</w:t>
            </w:r>
          </w:p>
        </w:tc>
        <w:tc>
          <w:tcPr>
            <w:tcW w:w="3200" w:type="dxa"/>
            <w:vAlign w:val="center"/>
          </w:tcPr>
          <w:p w:rsidR="002D7383" w:rsidRDefault="00B91B00" w:rsidP="005C0839">
            <w:pPr>
              <w:bidi/>
              <w:jc w:val="center"/>
            </w:pPr>
            <w:r>
              <w:rPr>
                <w:sz w:val="20"/>
                <w:rtl/>
              </w:rPr>
              <w:t>غیرسیگاری / سیگاری / سابق</w:t>
            </w:r>
          </w:p>
        </w:tc>
        <w:tc>
          <w:tcPr>
            <w:tcW w:w="1800" w:type="dxa"/>
            <w:vAlign w:val="center"/>
          </w:tcPr>
          <w:p w:rsidR="002D7383" w:rsidRDefault="00B91B00" w:rsidP="005C0839">
            <w:pPr>
              <w:bidi/>
              <w:jc w:val="center"/>
            </w:pPr>
            <w:r>
              <w:rPr>
                <w:sz w:val="20"/>
                <w:rtl/>
              </w:rPr>
              <w:t>طبقه‌بندی</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۱۷</w:t>
            </w:r>
          </w:p>
        </w:tc>
        <w:tc>
          <w:tcPr>
            <w:tcW w:w="2000" w:type="dxa"/>
            <w:vAlign w:val="center"/>
          </w:tcPr>
          <w:p w:rsidR="002D7383" w:rsidRDefault="00B91B00" w:rsidP="005C0839">
            <w:pPr>
              <w:bidi/>
              <w:jc w:val="center"/>
            </w:pPr>
            <w:r>
              <w:rPr>
                <w:sz w:val="20"/>
                <w:rtl/>
              </w:rPr>
              <w:t>سابقه خانوادگی CKD</w:t>
            </w:r>
          </w:p>
        </w:tc>
        <w:tc>
          <w:tcPr>
            <w:tcW w:w="1200" w:type="dxa"/>
            <w:vAlign w:val="center"/>
          </w:tcPr>
          <w:p w:rsidR="002D7383" w:rsidRDefault="00B91B00" w:rsidP="005C0839">
            <w:pPr>
              <w:bidi/>
              <w:jc w:val="center"/>
            </w:pPr>
            <w:r>
              <w:rPr>
                <w:sz w:val="20"/>
                <w:rtl/>
              </w:rPr>
              <w:t>دوتایی</w:t>
            </w:r>
          </w:p>
        </w:tc>
        <w:tc>
          <w:tcPr>
            <w:tcW w:w="1800" w:type="dxa"/>
            <w:vAlign w:val="center"/>
          </w:tcPr>
          <w:p w:rsidR="002D7383" w:rsidRDefault="00B91B00" w:rsidP="005C0839">
            <w:pPr>
              <w:bidi/>
              <w:jc w:val="center"/>
            </w:pPr>
            <w:r>
              <w:rPr>
                <w:sz w:val="20"/>
                <w:rtl/>
              </w:rPr>
              <w:t>مخدوش‌کننده</w:t>
            </w:r>
          </w:p>
        </w:tc>
        <w:tc>
          <w:tcPr>
            <w:tcW w:w="3200" w:type="dxa"/>
            <w:vAlign w:val="center"/>
          </w:tcPr>
          <w:p w:rsidR="002D7383" w:rsidRDefault="00B91B00" w:rsidP="005C0839">
            <w:pPr>
              <w:bidi/>
              <w:jc w:val="center"/>
            </w:pPr>
            <w:r>
              <w:rPr>
                <w:sz w:val="20"/>
                <w:rtl/>
              </w:rPr>
              <w:t>سابقه بیماری کلیوی در بستگان درجه اول</w:t>
            </w:r>
          </w:p>
        </w:tc>
        <w:tc>
          <w:tcPr>
            <w:tcW w:w="1800" w:type="dxa"/>
            <w:vAlign w:val="center"/>
          </w:tcPr>
          <w:p w:rsidR="002D7383" w:rsidRDefault="00B91B00" w:rsidP="005C0839">
            <w:pPr>
              <w:bidi/>
              <w:jc w:val="center"/>
            </w:pPr>
            <w:r>
              <w:rPr>
                <w:sz w:val="20"/>
                <w:rtl/>
              </w:rPr>
              <w:t>بله/خیر</w:t>
            </w:r>
          </w:p>
        </w:tc>
      </w:tr>
      <w:tr w:rsidR="002D7383" w:rsidTr="005C0839">
        <w:trPr>
          <w:jc w:val="center"/>
        </w:trPr>
        <w:tc>
          <w:tcPr>
            <w:tcW w:w="700" w:type="dxa"/>
            <w:vAlign w:val="center"/>
          </w:tcPr>
          <w:p w:rsidR="002D7383" w:rsidRPr="003A515B" w:rsidRDefault="00B91B00" w:rsidP="005C0839">
            <w:pPr>
              <w:bidi/>
              <w:jc w:val="center"/>
              <w:rPr>
                <w:b/>
                <w:bCs/>
              </w:rPr>
            </w:pPr>
            <w:r w:rsidRPr="003A515B">
              <w:rPr>
                <w:b/>
                <w:bCs/>
                <w:sz w:val="20"/>
                <w:rtl/>
              </w:rPr>
              <w:t>۱۸</w:t>
            </w:r>
          </w:p>
        </w:tc>
        <w:tc>
          <w:tcPr>
            <w:tcW w:w="2000" w:type="dxa"/>
            <w:vAlign w:val="center"/>
          </w:tcPr>
          <w:p w:rsidR="002D7383" w:rsidRDefault="00B91B00" w:rsidP="005C0839">
            <w:pPr>
              <w:bidi/>
              <w:jc w:val="center"/>
            </w:pPr>
            <w:r>
              <w:rPr>
                <w:sz w:val="20"/>
                <w:rtl/>
              </w:rPr>
              <w:t>مدت پیگیری</w:t>
            </w:r>
          </w:p>
        </w:tc>
        <w:tc>
          <w:tcPr>
            <w:tcW w:w="1200" w:type="dxa"/>
            <w:vAlign w:val="center"/>
          </w:tcPr>
          <w:p w:rsidR="002D7383" w:rsidRDefault="00B91B00" w:rsidP="005C0839">
            <w:pPr>
              <w:bidi/>
              <w:jc w:val="center"/>
            </w:pPr>
            <w:r>
              <w:rPr>
                <w:sz w:val="20"/>
                <w:rtl/>
              </w:rPr>
              <w:t>پیوسته</w:t>
            </w:r>
          </w:p>
        </w:tc>
        <w:tc>
          <w:tcPr>
            <w:tcW w:w="1800" w:type="dxa"/>
            <w:vAlign w:val="center"/>
          </w:tcPr>
          <w:p w:rsidR="002D7383" w:rsidRDefault="00B91B00" w:rsidP="005C0839">
            <w:pPr>
              <w:bidi/>
              <w:jc w:val="center"/>
            </w:pPr>
            <w:r>
              <w:rPr>
                <w:sz w:val="20"/>
                <w:rtl/>
              </w:rPr>
              <w:t>متغیر زمانی</w:t>
            </w:r>
          </w:p>
        </w:tc>
        <w:tc>
          <w:tcPr>
            <w:tcW w:w="3200" w:type="dxa"/>
            <w:vAlign w:val="center"/>
          </w:tcPr>
          <w:p w:rsidR="002D7383" w:rsidRDefault="00B91B00" w:rsidP="005C0839">
            <w:pPr>
              <w:bidi/>
              <w:jc w:val="center"/>
            </w:pPr>
            <w:r>
              <w:rPr>
                <w:sz w:val="20"/>
                <w:rtl/>
              </w:rPr>
              <w:t>فاصله زمانی از baseline تا آخرین ویزیت</w:t>
            </w:r>
          </w:p>
        </w:tc>
        <w:tc>
          <w:tcPr>
            <w:tcW w:w="1800" w:type="dxa"/>
            <w:vAlign w:val="center"/>
          </w:tcPr>
          <w:p w:rsidR="002D7383" w:rsidRDefault="00B91B00" w:rsidP="005C0839">
            <w:pPr>
              <w:bidi/>
              <w:jc w:val="center"/>
            </w:pPr>
            <w:r>
              <w:rPr>
                <w:sz w:val="20"/>
                <w:rtl/>
              </w:rPr>
              <w:t>سال</w:t>
            </w:r>
          </w:p>
        </w:tc>
      </w:tr>
    </w:tbl>
    <w:p w:rsidR="002D7383" w:rsidRDefault="00B91B00" w:rsidP="005C0839">
      <w:pPr>
        <w:bidi/>
        <w:spacing w:before="200" w:after="80"/>
      </w:pPr>
      <w:r>
        <w:rPr>
          <w:b/>
          <w:color w:val="1F497D"/>
          <w:sz w:val="28"/>
          <w:rtl/>
        </w:rPr>
        <w:lastRenderedPageBreak/>
        <w:t xml:space="preserve">۹-۱۰- جدول مراحل </w:t>
      </w:r>
      <w:proofErr w:type="spellStart"/>
      <w:r>
        <w:rPr>
          <w:b/>
          <w:color w:val="1F497D"/>
          <w:sz w:val="28"/>
          <w:rtl/>
        </w:rPr>
        <w:t>اجرای</w:t>
      </w:r>
      <w:proofErr w:type="spellEnd"/>
      <w:r>
        <w:rPr>
          <w:b/>
          <w:color w:val="1F497D"/>
          <w:sz w:val="28"/>
          <w:rtl/>
        </w:rPr>
        <w:t xml:space="preserve"> پروژه (GANTT) — مدت اجرا: ۱۸ ماه</w:t>
      </w:r>
    </w:p>
    <w:tbl>
      <w:tblPr>
        <w:tblStyle w:val="TableGrid"/>
        <w:tblW w:w="5022" w:type="pct"/>
        <w:jc w:val="right"/>
        <w:tblLook w:val="04A0" w:firstRow="1" w:lastRow="0" w:firstColumn="1" w:lastColumn="0" w:noHBand="0" w:noVBand="1"/>
      </w:tblPr>
      <w:tblGrid>
        <w:gridCol w:w="1254"/>
        <w:gridCol w:w="441"/>
        <w:gridCol w:w="441"/>
        <w:gridCol w:w="441"/>
        <w:gridCol w:w="441"/>
        <w:gridCol w:w="441"/>
        <w:gridCol w:w="441"/>
        <w:gridCol w:w="441"/>
        <w:gridCol w:w="441"/>
        <w:gridCol w:w="441"/>
        <w:gridCol w:w="463"/>
        <w:gridCol w:w="463"/>
        <w:gridCol w:w="463"/>
        <w:gridCol w:w="463"/>
        <w:gridCol w:w="463"/>
        <w:gridCol w:w="463"/>
        <w:gridCol w:w="463"/>
        <w:gridCol w:w="463"/>
        <w:gridCol w:w="452"/>
      </w:tblGrid>
      <w:tr w:rsidR="002D7383" w:rsidTr="009221DB">
        <w:trPr>
          <w:trHeight w:val="607"/>
          <w:jc w:val="right"/>
        </w:trPr>
        <w:tc>
          <w:tcPr>
            <w:tcW w:w="668" w:type="pct"/>
            <w:vAlign w:val="center"/>
          </w:tcPr>
          <w:p w:rsidR="002D7383" w:rsidRDefault="00B91B00" w:rsidP="009221DB">
            <w:pPr>
              <w:bidi/>
              <w:jc w:val="center"/>
            </w:pPr>
            <w:r>
              <w:rPr>
                <w:rFonts w:cs="Times New Roman"/>
                <w:b/>
                <w:bCs/>
                <w:sz w:val="18"/>
                <w:szCs w:val="18"/>
                <w:rtl/>
              </w:rPr>
              <w:t>مراحل</w:t>
            </w:r>
            <w:r>
              <w:rPr>
                <w:b/>
                <w:sz w:val="18"/>
              </w:rPr>
              <w:t xml:space="preserve"> </w:t>
            </w:r>
            <w:r>
              <w:rPr>
                <w:rFonts w:cs="Times New Roman"/>
                <w:b/>
                <w:bCs/>
                <w:sz w:val="18"/>
                <w:szCs w:val="18"/>
                <w:rtl/>
              </w:rPr>
              <w:t>اجرای</w:t>
            </w:r>
            <w:r>
              <w:rPr>
                <w:b/>
                <w:sz w:val="18"/>
              </w:rPr>
              <w:t xml:space="preserve"> </w:t>
            </w:r>
            <w:r>
              <w:rPr>
                <w:rFonts w:cs="Times New Roman"/>
                <w:b/>
                <w:bCs/>
                <w:sz w:val="18"/>
                <w:szCs w:val="18"/>
                <w:rtl/>
              </w:rPr>
              <w:t>پروژه</w:t>
            </w:r>
          </w:p>
        </w:tc>
        <w:tc>
          <w:tcPr>
            <w:tcW w:w="235" w:type="pct"/>
            <w:vAlign w:val="center"/>
          </w:tcPr>
          <w:p w:rsidR="002D7383" w:rsidRDefault="00B91B00" w:rsidP="009221DB">
            <w:pPr>
              <w:bidi/>
              <w:jc w:val="center"/>
            </w:pPr>
            <w:r>
              <w:rPr>
                <w:b/>
                <w:sz w:val="18"/>
              </w:rPr>
              <w:t>1</w:t>
            </w:r>
          </w:p>
        </w:tc>
        <w:tc>
          <w:tcPr>
            <w:tcW w:w="235" w:type="pct"/>
            <w:vAlign w:val="center"/>
          </w:tcPr>
          <w:p w:rsidR="002D7383" w:rsidRDefault="00B91B00" w:rsidP="009221DB">
            <w:pPr>
              <w:bidi/>
              <w:jc w:val="center"/>
            </w:pPr>
            <w:r>
              <w:rPr>
                <w:b/>
                <w:sz w:val="18"/>
              </w:rPr>
              <w:t>2</w:t>
            </w:r>
          </w:p>
        </w:tc>
        <w:tc>
          <w:tcPr>
            <w:tcW w:w="235" w:type="pct"/>
            <w:vAlign w:val="center"/>
          </w:tcPr>
          <w:p w:rsidR="002D7383" w:rsidRDefault="00B91B00" w:rsidP="009221DB">
            <w:pPr>
              <w:bidi/>
              <w:jc w:val="center"/>
            </w:pPr>
            <w:r>
              <w:rPr>
                <w:b/>
                <w:sz w:val="18"/>
              </w:rPr>
              <w:t>3</w:t>
            </w:r>
          </w:p>
        </w:tc>
        <w:tc>
          <w:tcPr>
            <w:tcW w:w="235" w:type="pct"/>
            <w:vAlign w:val="center"/>
          </w:tcPr>
          <w:p w:rsidR="002D7383" w:rsidRDefault="00B91B00" w:rsidP="009221DB">
            <w:pPr>
              <w:bidi/>
              <w:jc w:val="center"/>
            </w:pPr>
            <w:r>
              <w:rPr>
                <w:b/>
                <w:sz w:val="18"/>
              </w:rPr>
              <w:t>4</w:t>
            </w:r>
          </w:p>
        </w:tc>
        <w:tc>
          <w:tcPr>
            <w:tcW w:w="235" w:type="pct"/>
            <w:vAlign w:val="center"/>
          </w:tcPr>
          <w:p w:rsidR="002D7383" w:rsidRDefault="00B91B00" w:rsidP="009221DB">
            <w:pPr>
              <w:bidi/>
              <w:jc w:val="center"/>
            </w:pPr>
            <w:r>
              <w:rPr>
                <w:b/>
                <w:sz w:val="18"/>
              </w:rPr>
              <w:t>5</w:t>
            </w:r>
          </w:p>
        </w:tc>
        <w:tc>
          <w:tcPr>
            <w:tcW w:w="235" w:type="pct"/>
            <w:vAlign w:val="center"/>
          </w:tcPr>
          <w:p w:rsidR="002D7383" w:rsidRDefault="00B91B00" w:rsidP="009221DB">
            <w:pPr>
              <w:bidi/>
              <w:jc w:val="center"/>
            </w:pPr>
            <w:r>
              <w:rPr>
                <w:b/>
                <w:sz w:val="18"/>
              </w:rPr>
              <w:t>6</w:t>
            </w:r>
          </w:p>
        </w:tc>
        <w:tc>
          <w:tcPr>
            <w:tcW w:w="235" w:type="pct"/>
            <w:vAlign w:val="center"/>
          </w:tcPr>
          <w:p w:rsidR="002D7383" w:rsidRDefault="00B91B00" w:rsidP="009221DB">
            <w:pPr>
              <w:bidi/>
              <w:jc w:val="center"/>
            </w:pPr>
            <w:r>
              <w:rPr>
                <w:b/>
                <w:sz w:val="18"/>
              </w:rPr>
              <w:t>7</w:t>
            </w:r>
          </w:p>
        </w:tc>
        <w:tc>
          <w:tcPr>
            <w:tcW w:w="235" w:type="pct"/>
            <w:vAlign w:val="center"/>
          </w:tcPr>
          <w:p w:rsidR="002D7383" w:rsidRDefault="00B91B00" w:rsidP="009221DB">
            <w:pPr>
              <w:bidi/>
              <w:jc w:val="center"/>
            </w:pPr>
            <w:r>
              <w:rPr>
                <w:b/>
                <w:sz w:val="18"/>
              </w:rPr>
              <w:t>8</w:t>
            </w:r>
          </w:p>
        </w:tc>
        <w:tc>
          <w:tcPr>
            <w:tcW w:w="235" w:type="pct"/>
            <w:vAlign w:val="center"/>
          </w:tcPr>
          <w:p w:rsidR="002D7383" w:rsidRDefault="00B91B00" w:rsidP="009221DB">
            <w:pPr>
              <w:bidi/>
              <w:jc w:val="center"/>
            </w:pPr>
            <w:r>
              <w:rPr>
                <w:b/>
                <w:sz w:val="18"/>
              </w:rPr>
              <w:t>9</w:t>
            </w:r>
          </w:p>
        </w:tc>
        <w:tc>
          <w:tcPr>
            <w:tcW w:w="247" w:type="pct"/>
            <w:vAlign w:val="center"/>
          </w:tcPr>
          <w:p w:rsidR="002D7383" w:rsidRDefault="00B91B00" w:rsidP="009221DB">
            <w:pPr>
              <w:bidi/>
              <w:jc w:val="center"/>
            </w:pPr>
            <w:r>
              <w:rPr>
                <w:b/>
                <w:sz w:val="18"/>
              </w:rPr>
              <w:t>10</w:t>
            </w:r>
          </w:p>
        </w:tc>
        <w:tc>
          <w:tcPr>
            <w:tcW w:w="247" w:type="pct"/>
            <w:vAlign w:val="center"/>
          </w:tcPr>
          <w:p w:rsidR="002D7383" w:rsidRDefault="00B91B00" w:rsidP="009221DB">
            <w:pPr>
              <w:bidi/>
              <w:jc w:val="center"/>
            </w:pPr>
            <w:r>
              <w:rPr>
                <w:b/>
                <w:sz w:val="18"/>
              </w:rPr>
              <w:t>11</w:t>
            </w:r>
          </w:p>
        </w:tc>
        <w:tc>
          <w:tcPr>
            <w:tcW w:w="247" w:type="pct"/>
            <w:vAlign w:val="center"/>
          </w:tcPr>
          <w:p w:rsidR="002D7383" w:rsidRDefault="00B91B00" w:rsidP="009221DB">
            <w:pPr>
              <w:bidi/>
              <w:jc w:val="center"/>
            </w:pPr>
            <w:r>
              <w:rPr>
                <w:b/>
                <w:sz w:val="18"/>
              </w:rPr>
              <w:t>12</w:t>
            </w:r>
          </w:p>
        </w:tc>
        <w:tc>
          <w:tcPr>
            <w:tcW w:w="247" w:type="pct"/>
            <w:vAlign w:val="center"/>
          </w:tcPr>
          <w:p w:rsidR="002D7383" w:rsidRDefault="00B91B00" w:rsidP="009221DB">
            <w:pPr>
              <w:bidi/>
              <w:jc w:val="center"/>
            </w:pPr>
            <w:r>
              <w:rPr>
                <w:b/>
                <w:sz w:val="18"/>
              </w:rPr>
              <w:t>13</w:t>
            </w:r>
          </w:p>
        </w:tc>
        <w:tc>
          <w:tcPr>
            <w:tcW w:w="247" w:type="pct"/>
            <w:vAlign w:val="center"/>
          </w:tcPr>
          <w:p w:rsidR="002D7383" w:rsidRDefault="00B91B00" w:rsidP="009221DB">
            <w:pPr>
              <w:bidi/>
              <w:jc w:val="center"/>
            </w:pPr>
            <w:r>
              <w:rPr>
                <w:b/>
                <w:sz w:val="18"/>
              </w:rPr>
              <w:t>14</w:t>
            </w:r>
          </w:p>
        </w:tc>
        <w:tc>
          <w:tcPr>
            <w:tcW w:w="247" w:type="pct"/>
            <w:vAlign w:val="center"/>
          </w:tcPr>
          <w:p w:rsidR="002D7383" w:rsidRDefault="00B91B00" w:rsidP="009221DB">
            <w:pPr>
              <w:bidi/>
              <w:jc w:val="center"/>
            </w:pPr>
            <w:r>
              <w:rPr>
                <w:b/>
                <w:sz w:val="18"/>
              </w:rPr>
              <w:t>15</w:t>
            </w:r>
          </w:p>
        </w:tc>
        <w:tc>
          <w:tcPr>
            <w:tcW w:w="247" w:type="pct"/>
            <w:vAlign w:val="center"/>
          </w:tcPr>
          <w:p w:rsidR="002D7383" w:rsidRDefault="00B91B00" w:rsidP="009221DB">
            <w:pPr>
              <w:bidi/>
              <w:jc w:val="center"/>
            </w:pPr>
            <w:r>
              <w:rPr>
                <w:b/>
                <w:sz w:val="18"/>
              </w:rPr>
              <w:t>16</w:t>
            </w:r>
          </w:p>
        </w:tc>
        <w:tc>
          <w:tcPr>
            <w:tcW w:w="247" w:type="pct"/>
            <w:vAlign w:val="center"/>
          </w:tcPr>
          <w:p w:rsidR="002D7383" w:rsidRDefault="00B91B00" w:rsidP="009221DB">
            <w:pPr>
              <w:bidi/>
              <w:jc w:val="center"/>
            </w:pPr>
            <w:r>
              <w:rPr>
                <w:b/>
                <w:sz w:val="18"/>
              </w:rPr>
              <w:t>17</w:t>
            </w:r>
          </w:p>
        </w:tc>
        <w:tc>
          <w:tcPr>
            <w:tcW w:w="242" w:type="pct"/>
            <w:vAlign w:val="center"/>
          </w:tcPr>
          <w:p w:rsidR="002D7383" w:rsidRDefault="00B91B00" w:rsidP="009221DB">
            <w:pPr>
              <w:bidi/>
              <w:jc w:val="center"/>
            </w:pPr>
            <w:r>
              <w:rPr>
                <w:b/>
                <w:sz w:val="18"/>
              </w:rPr>
              <w:t>18</w:t>
            </w:r>
          </w:p>
        </w:tc>
      </w:tr>
      <w:tr w:rsidR="002D7383" w:rsidTr="009221DB">
        <w:trPr>
          <w:trHeight w:val="921"/>
          <w:jc w:val="right"/>
        </w:trPr>
        <w:tc>
          <w:tcPr>
            <w:tcW w:w="668" w:type="pct"/>
            <w:vAlign w:val="center"/>
          </w:tcPr>
          <w:p w:rsidR="002D7383" w:rsidRDefault="00B91B00" w:rsidP="009221DB">
            <w:pPr>
              <w:bidi/>
              <w:jc w:val="center"/>
            </w:pPr>
            <w:r>
              <w:rPr>
                <w:rFonts w:cs="Times New Roman"/>
                <w:sz w:val="18"/>
                <w:szCs w:val="18"/>
                <w:rtl/>
              </w:rPr>
              <w:t>اخذ</w:t>
            </w:r>
            <w:r>
              <w:rPr>
                <w:sz w:val="18"/>
              </w:rPr>
              <w:t xml:space="preserve"> </w:t>
            </w:r>
            <w:r>
              <w:rPr>
                <w:rFonts w:cs="Times New Roman"/>
                <w:sz w:val="18"/>
                <w:szCs w:val="18"/>
                <w:rtl/>
              </w:rPr>
              <w:t>تأییدیه</w:t>
            </w:r>
            <w:r>
              <w:rPr>
                <w:sz w:val="18"/>
              </w:rPr>
              <w:t xml:space="preserve"> </w:t>
            </w:r>
            <w:r>
              <w:rPr>
                <w:rFonts w:cs="Times New Roman"/>
                <w:sz w:val="18"/>
                <w:szCs w:val="18"/>
                <w:rtl/>
              </w:rPr>
              <w:t>اخلاقی</w:t>
            </w:r>
            <w:r>
              <w:rPr>
                <w:sz w:val="18"/>
              </w:rPr>
              <w:t xml:space="preserve"> </w:t>
            </w:r>
            <w:r>
              <w:rPr>
                <w:rFonts w:cs="Times New Roman"/>
                <w:sz w:val="18"/>
                <w:szCs w:val="18"/>
                <w:rtl/>
              </w:rPr>
              <w:t>و</w:t>
            </w:r>
            <w:r>
              <w:rPr>
                <w:sz w:val="18"/>
              </w:rPr>
              <w:t xml:space="preserve"> </w:t>
            </w:r>
            <w:r>
              <w:rPr>
                <w:rFonts w:cs="Times New Roman"/>
                <w:sz w:val="18"/>
                <w:szCs w:val="18"/>
                <w:rtl/>
              </w:rPr>
              <w:t>مجوز</w:t>
            </w:r>
            <w:r>
              <w:rPr>
                <w:sz w:val="18"/>
              </w:rPr>
              <w:t xml:space="preserve"> </w:t>
            </w:r>
            <w:r>
              <w:rPr>
                <w:rFonts w:cs="Times New Roman"/>
                <w:sz w:val="18"/>
                <w:szCs w:val="18"/>
                <w:rtl/>
              </w:rPr>
              <w:t>دسترسی</w:t>
            </w:r>
            <w:r>
              <w:rPr>
                <w:sz w:val="18"/>
              </w:rPr>
              <w:t xml:space="preserve"> </w:t>
            </w:r>
            <w:r>
              <w:rPr>
                <w:rFonts w:cs="Times New Roman"/>
                <w:sz w:val="18"/>
                <w:szCs w:val="18"/>
                <w:rtl/>
              </w:rPr>
              <w:t>داده</w:t>
            </w:r>
            <w:r>
              <w:rPr>
                <w:sz w:val="18"/>
              </w:rPr>
              <w:t xml:space="preserve"> TLGS</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1550"/>
          <w:jc w:val="right"/>
        </w:trPr>
        <w:tc>
          <w:tcPr>
            <w:tcW w:w="668" w:type="pct"/>
            <w:vAlign w:val="center"/>
          </w:tcPr>
          <w:p w:rsidR="002D7383" w:rsidRDefault="00B91B00" w:rsidP="009221DB">
            <w:pPr>
              <w:bidi/>
              <w:jc w:val="center"/>
            </w:pPr>
            <w:r>
              <w:rPr>
                <w:rFonts w:cs="Times New Roman"/>
                <w:sz w:val="18"/>
                <w:szCs w:val="18"/>
                <w:rtl/>
              </w:rPr>
              <w:t>هماهنگی</w:t>
            </w:r>
            <w:r>
              <w:rPr>
                <w:sz w:val="18"/>
              </w:rPr>
              <w:t xml:space="preserve"> </w:t>
            </w:r>
            <w:r>
              <w:rPr>
                <w:rFonts w:cs="Times New Roman"/>
                <w:sz w:val="18"/>
                <w:szCs w:val="18"/>
                <w:rtl/>
              </w:rPr>
              <w:t>با</w:t>
            </w:r>
            <w:r>
              <w:rPr>
                <w:sz w:val="18"/>
              </w:rPr>
              <w:t xml:space="preserve"> </w:t>
            </w:r>
            <w:r>
              <w:rPr>
                <w:rFonts w:cs="Times New Roman"/>
                <w:sz w:val="18"/>
                <w:szCs w:val="18"/>
                <w:rtl/>
              </w:rPr>
              <w:t>پژوهشکده</w:t>
            </w:r>
            <w:r>
              <w:rPr>
                <w:sz w:val="18"/>
              </w:rPr>
              <w:t xml:space="preserve"> — </w:t>
            </w:r>
            <w:r>
              <w:rPr>
                <w:rFonts w:cs="Times New Roman"/>
                <w:sz w:val="18"/>
                <w:szCs w:val="18"/>
                <w:rtl/>
              </w:rPr>
              <w:t>نهایی</w:t>
            </w:r>
            <w:r>
              <w:rPr>
                <w:sz w:val="18"/>
              </w:rPr>
              <w:t xml:space="preserve"> </w:t>
            </w:r>
            <w:r>
              <w:rPr>
                <w:rFonts w:cs="Times New Roman"/>
                <w:sz w:val="18"/>
                <w:szCs w:val="18"/>
                <w:rtl/>
              </w:rPr>
              <w:t>کردن</w:t>
            </w:r>
            <w:r>
              <w:rPr>
                <w:sz w:val="18"/>
              </w:rPr>
              <w:t xml:space="preserve"> </w:t>
            </w:r>
            <w:r>
              <w:rPr>
                <w:rFonts w:cs="Times New Roman"/>
                <w:sz w:val="18"/>
                <w:szCs w:val="18"/>
                <w:rtl/>
              </w:rPr>
              <w:t>تعریف</w:t>
            </w:r>
            <w:r>
              <w:rPr>
                <w:sz w:val="18"/>
              </w:rPr>
              <w:t xml:space="preserve"> MONW/MHO</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921"/>
          <w:jc w:val="right"/>
        </w:trPr>
        <w:tc>
          <w:tcPr>
            <w:tcW w:w="668" w:type="pct"/>
            <w:vAlign w:val="center"/>
          </w:tcPr>
          <w:p w:rsidR="002D7383" w:rsidRDefault="00B91B00" w:rsidP="009221DB">
            <w:pPr>
              <w:bidi/>
              <w:jc w:val="center"/>
            </w:pPr>
            <w:r>
              <w:rPr>
                <w:rFonts w:cs="Times New Roman"/>
                <w:sz w:val="18"/>
                <w:szCs w:val="18"/>
                <w:rtl/>
              </w:rPr>
              <w:t>استخراج</w:t>
            </w:r>
            <w:r>
              <w:rPr>
                <w:sz w:val="18"/>
              </w:rPr>
              <w:t xml:space="preserve"> </w:t>
            </w:r>
            <w:r>
              <w:rPr>
                <w:rFonts w:cs="Times New Roman"/>
                <w:sz w:val="18"/>
                <w:szCs w:val="18"/>
                <w:rtl/>
              </w:rPr>
              <w:t>و</w:t>
            </w:r>
            <w:r>
              <w:rPr>
                <w:sz w:val="18"/>
              </w:rPr>
              <w:t xml:space="preserve"> </w:t>
            </w:r>
            <w:r>
              <w:rPr>
                <w:rFonts w:cs="Times New Roman"/>
                <w:sz w:val="18"/>
                <w:szCs w:val="18"/>
                <w:rtl/>
              </w:rPr>
              <w:t>دریافت</w:t>
            </w:r>
            <w:r>
              <w:rPr>
                <w:sz w:val="18"/>
              </w:rPr>
              <w:t xml:space="preserve"> </w:t>
            </w:r>
            <w:r>
              <w:rPr>
                <w:rFonts w:cs="Times New Roman"/>
                <w:sz w:val="18"/>
                <w:szCs w:val="18"/>
                <w:rtl/>
              </w:rPr>
              <w:t>داده</w:t>
            </w:r>
            <w:r>
              <w:rPr>
                <w:sz w:val="18"/>
              </w:rPr>
              <w:t xml:space="preserve"> </w:t>
            </w:r>
            <w:r>
              <w:rPr>
                <w:rFonts w:cs="Times New Roman"/>
                <w:sz w:val="18"/>
                <w:szCs w:val="18"/>
                <w:rtl/>
              </w:rPr>
              <w:t>از</w:t>
            </w:r>
            <w:r>
              <w:rPr>
                <w:sz w:val="18"/>
              </w:rPr>
              <w:t xml:space="preserve"> </w:t>
            </w:r>
            <w:r>
              <w:rPr>
                <w:rFonts w:cs="Times New Roman"/>
                <w:sz w:val="18"/>
                <w:szCs w:val="18"/>
                <w:rtl/>
              </w:rPr>
              <w:t>پایگاه</w:t>
            </w:r>
            <w:r>
              <w:rPr>
                <w:sz w:val="18"/>
              </w:rPr>
              <w:t xml:space="preserve"> TLGS</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921"/>
          <w:jc w:val="right"/>
        </w:trPr>
        <w:tc>
          <w:tcPr>
            <w:tcW w:w="668" w:type="pct"/>
            <w:vAlign w:val="center"/>
          </w:tcPr>
          <w:p w:rsidR="002D7383" w:rsidRDefault="00B91B00" w:rsidP="009221DB">
            <w:pPr>
              <w:bidi/>
              <w:jc w:val="center"/>
            </w:pPr>
            <w:r>
              <w:rPr>
                <w:rFonts w:cs="Times New Roman"/>
                <w:sz w:val="18"/>
                <w:szCs w:val="18"/>
                <w:rtl/>
              </w:rPr>
              <w:t>پاک</w:t>
            </w:r>
            <w:r>
              <w:rPr>
                <w:sz w:val="18"/>
              </w:rPr>
              <w:t>‌</w:t>
            </w:r>
            <w:r>
              <w:rPr>
                <w:rFonts w:cs="Times New Roman"/>
                <w:sz w:val="18"/>
                <w:szCs w:val="18"/>
                <w:rtl/>
              </w:rPr>
              <w:t>سازی</w:t>
            </w:r>
            <w:r>
              <w:rPr>
                <w:sz w:val="18"/>
              </w:rPr>
              <w:t xml:space="preserve"> </w:t>
            </w:r>
            <w:r>
              <w:rPr>
                <w:rFonts w:cs="Times New Roman"/>
                <w:sz w:val="18"/>
                <w:szCs w:val="18"/>
                <w:rtl/>
              </w:rPr>
              <w:t>داده</w:t>
            </w:r>
            <w:r>
              <w:rPr>
                <w:sz w:val="18"/>
              </w:rPr>
              <w:t xml:space="preserve"> </w:t>
            </w:r>
            <w:r>
              <w:rPr>
                <w:rFonts w:cs="Times New Roman"/>
                <w:sz w:val="18"/>
                <w:szCs w:val="18"/>
                <w:rtl/>
              </w:rPr>
              <w:t>و</w:t>
            </w:r>
            <w:r>
              <w:rPr>
                <w:sz w:val="18"/>
              </w:rPr>
              <w:t xml:space="preserve"> </w:t>
            </w:r>
            <w:r>
              <w:rPr>
                <w:rFonts w:cs="Times New Roman"/>
                <w:sz w:val="18"/>
                <w:szCs w:val="18"/>
                <w:rtl/>
              </w:rPr>
              <w:t>تعریف</w:t>
            </w:r>
            <w:r>
              <w:rPr>
                <w:sz w:val="18"/>
              </w:rPr>
              <w:t xml:space="preserve"> </w:t>
            </w:r>
            <w:r>
              <w:rPr>
                <w:rFonts w:cs="Times New Roman"/>
                <w:sz w:val="18"/>
                <w:szCs w:val="18"/>
                <w:rtl/>
              </w:rPr>
              <w:t>متغیرها</w:t>
            </w:r>
            <w:r>
              <w:rPr>
                <w:sz w:val="18"/>
              </w:rPr>
              <w:t xml:space="preserve"> </w:t>
            </w:r>
            <w:r>
              <w:rPr>
                <w:rFonts w:cs="Times New Roman"/>
                <w:sz w:val="18"/>
                <w:szCs w:val="18"/>
                <w:rtl/>
              </w:rPr>
              <w:t>و</w:t>
            </w:r>
            <w:r>
              <w:rPr>
                <w:sz w:val="18"/>
              </w:rPr>
              <w:t xml:space="preserve"> </w:t>
            </w:r>
            <w:r>
              <w:rPr>
                <w:rFonts w:cs="Times New Roman"/>
                <w:sz w:val="18"/>
                <w:szCs w:val="18"/>
                <w:rtl/>
              </w:rPr>
              <w:t>فنوتیپ</w:t>
            </w:r>
            <w:r>
              <w:rPr>
                <w:sz w:val="18"/>
              </w:rPr>
              <w:t>‌</w:t>
            </w:r>
            <w:r>
              <w:rPr>
                <w:rFonts w:cs="Times New Roman"/>
                <w:sz w:val="18"/>
                <w:szCs w:val="18"/>
                <w:rtl/>
              </w:rPr>
              <w:t>بندی</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944"/>
          <w:jc w:val="right"/>
        </w:trPr>
        <w:tc>
          <w:tcPr>
            <w:tcW w:w="668" w:type="pct"/>
            <w:vAlign w:val="center"/>
          </w:tcPr>
          <w:p w:rsidR="002D7383" w:rsidRDefault="00B91B00" w:rsidP="009221DB">
            <w:pPr>
              <w:bidi/>
              <w:jc w:val="center"/>
            </w:pPr>
            <w:r>
              <w:rPr>
                <w:rFonts w:cs="Times New Roman"/>
                <w:sz w:val="18"/>
                <w:szCs w:val="18"/>
                <w:rtl/>
              </w:rPr>
              <w:t>محاسبه</w:t>
            </w:r>
            <w:r>
              <w:rPr>
                <w:sz w:val="18"/>
              </w:rPr>
              <w:t xml:space="preserve"> eGFR </w:t>
            </w:r>
            <w:r>
              <w:rPr>
                <w:rFonts w:cs="Times New Roman"/>
                <w:sz w:val="18"/>
                <w:szCs w:val="18"/>
                <w:rtl/>
              </w:rPr>
              <w:t>و</w:t>
            </w:r>
            <w:r>
              <w:rPr>
                <w:sz w:val="18"/>
              </w:rPr>
              <w:t xml:space="preserve"> </w:t>
            </w:r>
            <w:r>
              <w:rPr>
                <w:rFonts w:cs="Times New Roman"/>
                <w:sz w:val="18"/>
                <w:szCs w:val="18"/>
                <w:rtl/>
              </w:rPr>
              <w:t>طبقه</w:t>
            </w:r>
            <w:r>
              <w:rPr>
                <w:sz w:val="18"/>
              </w:rPr>
              <w:t>‌</w:t>
            </w:r>
            <w:r>
              <w:rPr>
                <w:rFonts w:cs="Times New Roman"/>
                <w:sz w:val="18"/>
                <w:szCs w:val="18"/>
                <w:rtl/>
              </w:rPr>
              <w:t>بندی</w:t>
            </w:r>
            <w:r>
              <w:rPr>
                <w:sz w:val="18"/>
              </w:rPr>
              <w:t xml:space="preserve"> </w:t>
            </w:r>
            <w:r>
              <w:rPr>
                <w:rFonts w:cs="Times New Roman"/>
                <w:sz w:val="18"/>
                <w:szCs w:val="18"/>
                <w:rtl/>
              </w:rPr>
              <w:t>فنوتیپ</w:t>
            </w:r>
            <w:r>
              <w:rPr>
                <w:sz w:val="18"/>
              </w:rPr>
              <w:t xml:space="preserve"> </w:t>
            </w:r>
            <w:r>
              <w:rPr>
                <w:rFonts w:cs="Times New Roman"/>
                <w:sz w:val="18"/>
                <w:szCs w:val="18"/>
                <w:rtl/>
              </w:rPr>
              <w:t>در</w:t>
            </w:r>
            <w:r>
              <w:rPr>
                <w:sz w:val="18"/>
              </w:rPr>
              <w:t xml:space="preserve"> </w:t>
            </w:r>
            <w:r>
              <w:rPr>
                <w:rFonts w:cs="Times New Roman"/>
                <w:sz w:val="18"/>
                <w:szCs w:val="18"/>
                <w:rtl/>
              </w:rPr>
              <w:t>هر</w:t>
            </w:r>
            <w:r>
              <w:rPr>
                <w:sz w:val="18"/>
              </w:rPr>
              <w:t xml:space="preserve"> </w:t>
            </w:r>
            <w:r>
              <w:rPr>
                <w:rFonts w:cs="Times New Roman"/>
                <w:sz w:val="18"/>
                <w:szCs w:val="18"/>
                <w:rtl/>
              </w:rPr>
              <w:t>فاز</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607"/>
          <w:jc w:val="right"/>
        </w:trPr>
        <w:tc>
          <w:tcPr>
            <w:tcW w:w="668" w:type="pct"/>
            <w:vAlign w:val="center"/>
          </w:tcPr>
          <w:p w:rsidR="002D7383" w:rsidRDefault="00B91B00" w:rsidP="009221DB">
            <w:pPr>
              <w:bidi/>
              <w:jc w:val="center"/>
            </w:pPr>
            <w:r>
              <w:rPr>
                <w:rFonts w:cs="Times New Roman"/>
                <w:sz w:val="18"/>
                <w:szCs w:val="18"/>
                <w:rtl/>
              </w:rPr>
              <w:t>آنالیز</w:t>
            </w:r>
            <w:r>
              <w:rPr>
                <w:sz w:val="18"/>
              </w:rPr>
              <w:t xml:space="preserve"> </w:t>
            </w:r>
            <w:r>
              <w:rPr>
                <w:rFonts w:cs="Times New Roman"/>
                <w:sz w:val="18"/>
                <w:szCs w:val="18"/>
                <w:rtl/>
              </w:rPr>
              <w:t>توصیفی</w:t>
            </w:r>
            <w:r>
              <w:rPr>
                <w:sz w:val="18"/>
              </w:rPr>
              <w:t xml:space="preserve"> </w:t>
            </w:r>
            <w:r>
              <w:rPr>
                <w:rFonts w:cs="Times New Roman"/>
                <w:sz w:val="18"/>
                <w:szCs w:val="18"/>
                <w:rtl/>
              </w:rPr>
              <w:t>جمعیت</w:t>
            </w:r>
            <w:r>
              <w:rPr>
                <w:sz w:val="18"/>
              </w:rPr>
              <w:t xml:space="preserve"> </w:t>
            </w:r>
            <w:r>
              <w:rPr>
                <w:rFonts w:cs="Times New Roman"/>
                <w:sz w:val="18"/>
                <w:szCs w:val="18"/>
                <w:rtl/>
              </w:rPr>
              <w:t>مطالعه</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944"/>
          <w:jc w:val="right"/>
        </w:trPr>
        <w:tc>
          <w:tcPr>
            <w:tcW w:w="668" w:type="pct"/>
            <w:vAlign w:val="center"/>
          </w:tcPr>
          <w:p w:rsidR="002D7383" w:rsidRDefault="00B91B00" w:rsidP="009221DB">
            <w:pPr>
              <w:bidi/>
              <w:jc w:val="center"/>
            </w:pPr>
            <w:r>
              <w:rPr>
                <w:rFonts w:cs="Times New Roman"/>
                <w:sz w:val="18"/>
                <w:szCs w:val="18"/>
                <w:rtl/>
              </w:rPr>
              <w:t>مدل</w:t>
            </w:r>
            <w:r>
              <w:rPr>
                <w:sz w:val="18"/>
              </w:rPr>
              <w:t xml:space="preserve"> </w:t>
            </w:r>
            <w:r>
              <w:rPr>
                <w:rFonts w:cs="Times New Roman"/>
                <w:sz w:val="18"/>
                <w:szCs w:val="18"/>
                <w:rtl/>
              </w:rPr>
              <w:t>خطی</w:t>
            </w:r>
            <w:r>
              <w:rPr>
                <w:sz w:val="18"/>
              </w:rPr>
              <w:t xml:space="preserve"> </w:t>
            </w:r>
            <w:r>
              <w:rPr>
                <w:rFonts w:cs="Times New Roman"/>
                <w:sz w:val="18"/>
                <w:szCs w:val="18"/>
                <w:rtl/>
              </w:rPr>
              <w:t>اثرات</w:t>
            </w:r>
            <w:r>
              <w:rPr>
                <w:sz w:val="18"/>
              </w:rPr>
              <w:t xml:space="preserve"> </w:t>
            </w:r>
            <w:r>
              <w:rPr>
                <w:rFonts w:cs="Times New Roman"/>
                <w:sz w:val="18"/>
                <w:szCs w:val="18"/>
                <w:rtl/>
              </w:rPr>
              <w:t>مختلط</w:t>
            </w:r>
            <w:r>
              <w:rPr>
                <w:sz w:val="18"/>
              </w:rPr>
              <w:t xml:space="preserve"> (slope of eGFR)</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shd w:val="clear" w:color="auto" w:fill="1F497D"/>
            <w:vAlign w:val="center"/>
          </w:tcPr>
          <w:p w:rsidR="002D7383" w:rsidRDefault="00B91B00" w:rsidP="009221DB">
            <w:pPr>
              <w:bidi/>
              <w:jc w:val="center"/>
            </w:pPr>
            <w:r>
              <w:rPr>
                <w:color w:val="1F497D"/>
                <w:sz w:val="18"/>
              </w:rPr>
              <w:t>█</w:t>
            </w:r>
          </w:p>
        </w:tc>
        <w:tc>
          <w:tcPr>
            <w:tcW w:w="235"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921"/>
          <w:jc w:val="right"/>
        </w:trPr>
        <w:tc>
          <w:tcPr>
            <w:tcW w:w="668" w:type="pct"/>
            <w:vAlign w:val="center"/>
          </w:tcPr>
          <w:p w:rsidR="002D7383" w:rsidRDefault="00B91B00" w:rsidP="009221DB">
            <w:pPr>
              <w:bidi/>
              <w:jc w:val="center"/>
            </w:pPr>
            <w:r>
              <w:rPr>
                <w:rFonts w:cs="Times New Roman"/>
                <w:sz w:val="18"/>
                <w:szCs w:val="18"/>
                <w:rtl/>
              </w:rPr>
              <w:t>رگرسیون</w:t>
            </w:r>
            <w:r>
              <w:rPr>
                <w:sz w:val="18"/>
              </w:rPr>
              <w:t xml:space="preserve"> Cox (</w:t>
            </w:r>
            <w:r>
              <w:rPr>
                <w:rFonts w:cs="Times New Roman"/>
                <w:sz w:val="18"/>
                <w:szCs w:val="18"/>
                <w:rtl/>
              </w:rPr>
              <w:t>بروز</w:t>
            </w:r>
            <w:r>
              <w:rPr>
                <w:sz w:val="18"/>
              </w:rPr>
              <w:t xml:space="preserve"> CKD </w:t>
            </w:r>
            <w:r>
              <w:rPr>
                <w:rFonts w:cs="Times New Roman"/>
                <w:sz w:val="18"/>
                <w:szCs w:val="18"/>
                <w:rtl/>
              </w:rPr>
              <w:t>و</w:t>
            </w:r>
            <w:r>
              <w:rPr>
                <w:sz w:val="18"/>
              </w:rPr>
              <w:t xml:space="preserve"> </w:t>
            </w:r>
            <w:r>
              <w:rPr>
                <w:rFonts w:cs="Times New Roman"/>
                <w:sz w:val="18"/>
                <w:szCs w:val="18"/>
                <w:rtl/>
              </w:rPr>
              <w:t>کاهش</w:t>
            </w:r>
            <w:r>
              <w:rPr>
                <w:sz w:val="18"/>
              </w:rPr>
              <w:t xml:space="preserve"> </w:t>
            </w:r>
            <w:r>
              <w:rPr>
                <w:rFonts w:cs="Times New Roman"/>
                <w:sz w:val="18"/>
                <w:szCs w:val="18"/>
                <w:rtl/>
              </w:rPr>
              <w:t>سریع</w:t>
            </w:r>
            <w:r>
              <w:rPr>
                <w:sz w:val="18"/>
              </w:rPr>
              <w:t>)</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921"/>
          <w:jc w:val="right"/>
        </w:trPr>
        <w:tc>
          <w:tcPr>
            <w:tcW w:w="668" w:type="pct"/>
            <w:vAlign w:val="center"/>
          </w:tcPr>
          <w:p w:rsidR="002D7383" w:rsidRDefault="00B91B00" w:rsidP="009221DB">
            <w:pPr>
              <w:bidi/>
              <w:jc w:val="center"/>
            </w:pPr>
            <w:r>
              <w:rPr>
                <w:rFonts w:cs="Times New Roman"/>
                <w:sz w:val="18"/>
                <w:szCs w:val="18"/>
                <w:rtl/>
              </w:rPr>
              <w:t>آنالیزهای</w:t>
            </w:r>
            <w:r>
              <w:rPr>
                <w:sz w:val="18"/>
              </w:rPr>
              <w:t xml:space="preserve"> </w:t>
            </w:r>
            <w:r>
              <w:rPr>
                <w:rFonts w:cs="Times New Roman"/>
                <w:sz w:val="18"/>
                <w:szCs w:val="18"/>
                <w:rtl/>
              </w:rPr>
              <w:t>حساسیت</w:t>
            </w:r>
            <w:r>
              <w:rPr>
                <w:sz w:val="18"/>
              </w:rPr>
              <w:t xml:space="preserve"> </w:t>
            </w:r>
            <w:r>
              <w:rPr>
                <w:rFonts w:cs="Times New Roman"/>
                <w:sz w:val="18"/>
                <w:szCs w:val="18"/>
                <w:rtl/>
              </w:rPr>
              <w:t>و</w:t>
            </w:r>
            <w:r>
              <w:rPr>
                <w:sz w:val="18"/>
              </w:rPr>
              <w:t xml:space="preserve"> subgroup</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607"/>
          <w:jc w:val="right"/>
        </w:trPr>
        <w:tc>
          <w:tcPr>
            <w:tcW w:w="668" w:type="pct"/>
            <w:vAlign w:val="center"/>
          </w:tcPr>
          <w:p w:rsidR="002D7383" w:rsidRDefault="00B91B00" w:rsidP="009221DB">
            <w:pPr>
              <w:bidi/>
              <w:jc w:val="center"/>
            </w:pPr>
            <w:r>
              <w:rPr>
                <w:rFonts w:cs="Times New Roman"/>
                <w:sz w:val="18"/>
                <w:szCs w:val="18"/>
                <w:rtl/>
              </w:rPr>
              <w:t>نگارش</w:t>
            </w:r>
            <w:r>
              <w:rPr>
                <w:sz w:val="18"/>
              </w:rPr>
              <w:t xml:space="preserve"> </w:t>
            </w:r>
            <w:r>
              <w:rPr>
                <w:rFonts w:cs="Times New Roman"/>
                <w:sz w:val="18"/>
                <w:szCs w:val="18"/>
                <w:rtl/>
              </w:rPr>
              <w:t>پیش</w:t>
            </w:r>
            <w:r>
              <w:rPr>
                <w:sz w:val="18"/>
              </w:rPr>
              <w:t>‌</w:t>
            </w:r>
            <w:r>
              <w:rPr>
                <w:rFonts w:cs="Times New Roman"/>
                <w:sz w:val="18"/>
                <w:szCs w:val="18"/>
                <w:rtl/>
              </w:rPr>
              <w:t>نویس</w:t>
            </w:r>
            <w:r>
              <w:rPr>
                <w:sz w:val="18"/>
              </w:rPr>
              <w:t xml:space="preserve"> </w:t>
            </w:r>
            <w:r>
              <w:rPr>
                <w:rFonts w:cs="Times New Roman"/>
                <w:sz w:val="18"/>
                <w:szCs w:val="18"/>
                <w:rtl/>
              </w:rPr>
              <w:t>مقاله</w:t>
            </w:r>
            <w:r>
              <w:rPr>
                <w:sz w:val="18"/>
              </w:rPr>
              <w:t>/</w:t>
            </w:r>
            <w:r>
              <w:rPr>
                <w:rFonts w:cs="Times New Roman"/>
                <w:sz w:val="18"/>
                <w:szCs w:val="18"/>
                <w:rtl/>
              </w:rPr>
              <w:t>پایان</w:t>
            </w:r>
            <w:r>
              <w:rPr>
                <w:sz w:val="18"/>
              </w:rPr>
              <w:t>‌</w:t>
            </w:r>
            <w:r>
              <w:rPr>
                <w:rFonts w:cs="Times New Roman"/>
                <w:sz w:val="18"/>
                <w:szCs w:val="18"/>
                <w:rtl/>
              </w:rPr>
              <w:t>نامه</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607"/>
          <w:jc w:val="right"/>
        </w:trPr>
        <w:tc>
          <w:tcPr>
            <w:tcW w:w="668" w:type="pct"/>
            <w:vAlign w:val="center"/>
          </w:tcPr>
          <w:p w:rsidR="002D7383" w:rsidRDefault="00B91B00" w:rsidP="009221DB">
            <w:pPr>
              <w:bidi/>
              <w:jc w:val="center"/>
            </w:pPr>
            <w:r>
              <w:rPr>
                <w:rFonts w:cs="Times New Roman"/>
                <w:sz w:val="18"/>
                <w:szCs w:val="18"/>
                <w:rtl/>
              </w:rPr>
              <w:t>مراجعه</w:t>
            </w:r>
            <w:r>
              <w:rPr>
                <w:sz w:val="18"/>
              </w:rPr>
              <w:t xml:space="preserve"> </w:t>
            </w:r>
            <w:r>
              <w:rPr>
                <w:rFonts w:cs="Times New Roman"/>
                <w:sz w:val="18"/>
                <w:szCs w:val="18"/>
                <w:rtl/>
              </w:rPr>
              <w:t>به</w:t>
            </w:r>
            <w:r>
              <w:rPr>
                <w:sz w:val="18"/>
              </w:rPr>
              <w:t xml:space="preserve"> </w:t>
            </w:r>
            <w:r>
              <w:rPr>
                <w:rFonts w:cs="Times New Roman"/>
                <w:sz w:val="18"/>
                <w:szCs w:val="18"/>
                <w:rtl/>
              </w:rPr>
              <w:t>استاد</w:t>
            </w:r>
            <w:r>
              <w:rPr>
                <w:sz w:val="18"/>
              </w:rPr>
              <w:t xml:space="preserve"> </w:t>
            </w:r>
            <w:r>
              <w:rPr>
                <w:rFonts w:cs="Times New Roman"/>
                <w:sz w:val="18"/>
                <w:szCs w:val="18"/>
                <w:rtl/>
              </w:rPr>
              <w:t>راهنما</w:t>
            </w:r>
            <w:r>
              <w:rPr>
                <w:sz w:val="18"/>
              </w:rPr>
              <w:t xml:space="preserve"> </w:t>
            </w:r>
            <w:r>
              <w:rPr>
                <w:rFonts w:cs="Times New Roman"/>
                <w:sz w:val="18"/>
                <w:szCs w:val="18"/>
                <w:rtl/>
              </w:rPr>
              <w:t>و</w:t>
            </w:r>
            <w:r>
              <w:rPr>
                <w:sz w:val="18"/>
              </w:rPr>
              <w:t xml:space="preserve"> </w:t>
            </w:r>
            <w:r>
              <w:rPr>
                <w:rFonts w:cs="Times New Roman"/>
                <w:sz w:val="18"/>
                <w:szCs w:val="18"/>
                <w:rtl/>
              </w:rPr>
              <w:t>ویرایش</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7" w:type="pct"/>
            <w:vAlign w:val="center"/>
          </w:tcPr>
          <w:p w:rsidR="002D7383" w:rsidRDefault="002D7383" w:rsidP="009221DB">
            <w:pPr>
              <w:bidi/>
              <w:jc w:val="center"/>
            </w:pPr>
          </w:p>
        </w:tc>
        <w:tc>
          <w:tcPr>
            <w:tcW w:w="242" w:type="pct"/>
            <w:vAlign w:val="center"/>
          </w:tcPr>
          <w:p w:rsidR="002D7383" w:rsidRDefault="002D7383" w:rsidP="009221DB">
            <w:pPr>
              <w:bidi/>
              <w:jc w:val="center"/>
            </w:pPr>
          </w:p>
        </w:tc>
      </w:tr>
      <w:tr w:rsidR="002D7383" w:rsidTr="009221DB">
        <w:trPr>
          <w:trHeight w:val="607"/>
          <w:jc w:val="right"/>
        </w:trPr>
        <w:tc>
          <w:tcPr>
            <w:tcW w:w="668" w:type="pct"/>
            <w:vAlign w:val="center"/>
          </w:tcPr>
          <w:p w:rsidR="002D7383" w:rsidRDefault="00B91B00" w:rsidP="009221DB">
            <w:pPr>
              <w:bidi/>
              <w:jc w:val="center"/>
            </w:pPr>
            <w:r>
              <w:rPr>
                <w:rFonts w:cs="Times New Roman"/>
                <w:sz w:val="18"/>
                <w:szCs w:val="18"/>
                <w:rtl/>
              </w:rPr>
              <w:t>ارسال</w:t>
            </w:r>
            <w:r>
              <w:rPr>
                <w:sz w:val="18"/>
              </w:rPr>
              <w:t xml:space="preserve"> </w:t>
            </w:r>
            <w:r>
              <w:rPr>
                <w:rFonts w:cs="Times New Roman"/>
                <w:sz w:val="18"/>
                <w:szCs w:val="18"/>
                <w:rtl/>
              </w:rPr>
              <w:t>مقاله</w:t>
            </w:r>
            <w:r>
              <w:rPr>
                <w:sz w:val="18"/>
              </w:rPr>
              <w:t xml:space="preserve"> </w:t>
            </w:r>
            <w:r>
              <w:rPr>
                <w:rFonts w:cs="Times New Roman"/>
                <w:sz w:val="18"/>
                <w:szCs w:val="18"/>
                <w:rtl/>
              </w:rPr>
              <w:t>به</w:t>
            </w:r>
            <w:r>
              <w:rPr>
                <w:sz w:val="18"/>
              </w:rPr>
              <w:t xml:space="preserve"> </w:t>
            </w:r>
            <w:r>
              <w:rPr>
                <w:rFonts w:cs="Times New Roman"/>
                <w:sz w:val="18"/>
                <w:szCs w:val="18"/>
                <w:rtl/>
              </w:rPr>
              <w:t>مجله</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shd w:val="clear" w:color="auto" w:fill="1F497D"/>
            <w:vAlign w:val="center"/>
          </w:tcPr>
          <w:p w:rsidR="002D7383" w:rsidRDefault="00B91B00" w:rsidP="009221DB">
            <w:pPr>
              <w:bidi/>
              <w:jc w:val="center"/>
            </w:pPr>
            <w:r>
              <w:rPr>
                <w:color w:val="1F497D"/>
                <w:sz w:val="18"/>
              </w:rPr>
              <w:t>█</w:t>
            </w:r>
          </w:p>
        </w:tc>
        <w:tc>
          <w:tcPr>
            <w:tcW w:w="247" w:type="pct"/>
            <w:shd w:val="clear" w:color="auto" w:fill="1F497D"/>
            <w:vAlign w:val="center"/>
          </w:tcPr>
          <w:p w:rsidR="002D7383" w:rsidRDefault="00B91B00" w:rsidP="009221DB">
            <w:pPr>
              <w:bidi/>
              <w:jc w:val="center"/>
            </w:pPr>
            <w:r>
              <w:rPr>
                <w:color w:val="1F497D"/>
                <w:sz w:val="18"/>
              </w:rPr>
              <w:t>█</w:t>
            </w:r>
          </w:p>
        </w:tc>
        <w:tc>
          <w:tcPr>
            <w:tcW w:w="242" w:type="pct"/>
            <w:vAlign w:val="center"/>
          </w:tcPr>
          <w:p w:rsidR="002D7383" w:rsidRDefault="002D7383" w:rsidP="009221DB">
            <w:pPr>
              <w:bidi/>
              <w:jc w:val="center"/>
            </w:pPr>
          </w:p>
        </w:tc>
      </w:tr>
      <w:tr w:rsidR="002D7383" w:rsidTr="009221DB">
        <w:trPr>
          <w:trHeight w:val="404"/>
          <w:jc w:val="right"/>
        </w:trPr>
        <w:tc>
          <w:tcPr>
            <w:tcW w:w="668" w:type="pct"/>
            <w:vAlign w:val="center"/>
          </w:tcPr>
          <w:p w:rsidR="002D7383" w:rsidRDefault="00B91B00" w:rsidP="009221DB">
            <w:pPr>
              <w:bidi/>
              <w:jc w:val="center"/>
            </w:pPr>
            <w:r>
              <w:rPr>
                <w:rFonts w:cs="Times New Roman"/>
                <w:sz w:val="18"/>
                <w:szCs w:val="18"/>
                <w:rtl/>
              </w:rPr>
              <w:t>دفاع</w:t>
            </w:r>
            <w:r>
              <w:rPr>
                <w:sz w:val="18"/>
              </w:rPr>
              <w:t xml:space="preserve"> </w:t>
            </w:r>
            <w:r>
              <w:rPr>
                <w:rFonts w:cs="Times New Roman"/>
                <w:sz w:val="18"/>
                <w:szCs w:val="18"/>
                <w:rtl/>
              </w:rPr>
              <w:t>از</w:t>
            </w:r>
            <w:r>
              <w:rPr>
                <w:sz w:val="18"/>
              </w:rPr>
              <w:t xml:space="preserve"> </w:t>
            </w:r>
            <w:r>
              <w:rPr>
                <w:rFonts w:cs="Times New Roman"/>
                <w:sz w:val="18"/>
                <w:szCs w:val="18"/>
                <w:rtl/>
              </w:rPr>
              <w:t>پایان</w:t>
            </w:r>
            <w:r>
              <w:rPr>
                <w:sz w:val="18"/>
              </w:rPr>
              <w:t>‌</w:t>
            </w:r>
            <w:r>
              <w:rPr>
                <w:rFonts w:cs="Times New Roman"/>
                <w:sz w:val="18"/>
                <w:szCs w:val="18"/>
                <w:rtl/>
              </w:rPr>
              <w:t>نامه</w:t>
            </w: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35"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vAlign w:val="center"/>
          </w:tcPr>
          <w:p w:rsidR="002D7383" w:rsidRDefault="002D7383" w:rsidP="009221DB">
            <w:pPr>
              <w:bidi/>
              <w:jc w:val="center"/>
            </w:pPr>
          </w:p>
        </w:tc>
        <w:tc>
          <w:tcPr>
            <w:tcW w:w="247" w:type="pct"/>
            <w:shd w:val="clear" w:color="auto" w:fill="1F497D"/>
            <w:vAlign w:val="center"/>
          </w:tcPr>
          <w:p w:rsidR="002D7383" w:rsidRDefault="00B91B00" w:rsidP="009221DB">
            <w:pPr>
              <w:bidi/>
              <w:jc w:val="center"/>
            </w:pPr>
            <w:r>
              <w:rPr>
                <w:color w:val="1F497D"/>
                <w:sz w:val="18"/>
              </w:rPr>
              <w:t>█</w:t>
            </w:r>
          </w:p>
        </w:tc>
        <w:tc>
          <w:tcPr>
            <w:tcW w:w="242" w:type="pct"/>
            <w:shd w:val="clear" w:color="auto" w:fill="1F497D"/>
            <w:vAlign w:val="center"/>
          </w:tcPr>
          <w:p w:rsidR="002D7383" w:rsidRDefault="00B91B00" w:rsidP="009221DB">
            <w:pPr>
              <w:bidi/>
              <w:jc w:val="center"/>
            </w:pPr>
            <w:r>
              <w:rPr>
                <w:color w:val="1F497D"/>
                <w:sz w:val="18"/>
              </w:rPr>
              <w:t>█</w:t>
            </w:r>
          </w:p>
        </w:tc>
      </w:tr>
    </w:tbl>
    <w:p w:rsidR="002D7383" w:rsidRDefault="002D7383" w:rsidP="005C0839">
      <w:pPr>
        <w:bidi/>
        <w:spacing w:after="40"/>
        <w:rPr>
          <w:rtl/>
        </w:rPr>
      </w:pPr>
    </w:p>
    <w:p w:rsidR="008E1DB5" w:rsidRDefault="008E1DB5" w:rsidP="008E1DB5">
      <w:pPr>
        <w:bidi/>
        <w:spacing w:after="40"/>
      </w:pPr>
    </w:p>
    <w:p w:rsidR="002D7383" w:rsidRPr="00904D49" w:rsidRDefault="00B91B00" w:rsidP="005C0839">
      <w:pPr>
        <w:bidi/>
        <w:spacing w:before="200" w:after="80"/>
        <w:rPr>
          <w:bCs/>
        </w:rPr>
      </w:pPr>
      <w:r w:rsidRPr="00904D49">
        <w:rPr>
          <w:bCs/>
          <w:color w:val="1F497D"/>
          <w:sz w:val="28"/>
          <w:rtl/>
        </w:rPr>
        <w:lastRenderedPageBreak/>
        <w:t>۲-۱۰- ملاحظات اخلاقی:</w:t>
      </w:r>
    </w:p>
    <w:p w:rsidR="002D7383" w:rsidRDefault="00B91B00" w:rsidP="005C0839">
      <w:pPr>
        <w:bidi/>
        <w:spacing w:after="100"/>
        <w:ind w:firstLine="283"/>
      </w:pPr>
      <w:r>
        <w:rPr>
          <w:color w:val="000000"/>
          <w:sz w:val="24"/>
          <w:rtl/>
        </w:rPr>
        <w:t>۱. این مطالعه آنالیز ثانویه داده‌های موجود TLGS است؛ هیچ مداخله، نمونه‌گیری یا تماس مستقیمی با شرکت‌کنندگان صورت نمی‌گیرد.</w:t>
      </w:r>
    </w:p>
    <w:p w:rsidR="002D7383" w:rsidRDefault="00B91B00" w:rsidP="005C0839">
      <w:pPr>
        <w:bidi/>
        <w:spacing w:after="100"/>
        <w:ind w:firstLine="283"/>
      </w:pPr>
      <w:r>
        <w:rPr>
          <w:color w:val="000000"/>
          <w:sz w:val="24"/>
          <w:rtl/>
        </w:rPr>
        <w:t>۲. مطالعه TLGS دارای تأییدیه کمیته اخلاق پژوهشکده علوم غدد درون‌ریز شهید بهشتی است و کلیه شرکت‌کنندگان رضایت‌نامه آگاهانه امضا کرده‌اند.</w:t>
      </w:r>
    </w:p>
    <w:p w:rsidR="002D7383" w:rsidRDefault="00B91B00" w:rsidP="005C0839">
      <w:pPr>
        <w:bidi/>
        <w:spacing w:after="100"/>
        <w:ind w:firstLine="283"/>
      </w:pPr>
      <w:r>
        <w:rPr>
          <w:color w:val="000000"/>
          <w:sz w:val="24"/>
          <w:rtl/>
        </w:rPr>
        <w:t>۳. درخواست کد اخلاق ملی برای این مطالعه از کمیته اخلاق دانشگاه علوم پزشکی شهید بهشتی ارائه خواهد شد.</w:t>
      </w:r>
    </w:p>
    <w:p w:rsidR="002D7383" w:rsidRDefault="00B91B00" w:rsidP="005C0839">
      <w:pPr>
        <w:bidi/>
        <w:spacing w:after="100"/>
        <w:ind w:firstLine="283"/>
      </w:pPr>
      <w:r>
        <w:rPr>
          <w:color w:val="000000"/>
          <w:sz w:val="24"/>
          <w:rtl/>
        </w:rPr>
        <w:t>۴. داده‌ها پس از دریافت با حذف کلیه اطلاعات هویتی و استفاده از کد ناشناس پردازش می‌شوند.</w:t>
      </w:r>
    </w:p>
    <w:p w:rsidR="002D7383" w:rsidRDefault="00B91B00" w:rsidP="005C0839">
      <w:pPr>
        <w:bidi/>
        <w:spacing w:after="100"/>
        <w:ind w:firstLine="283"/>
      </w:pPr>
      <w:r>
        <w:rPr>
          <w:color w:val="000000"/>
          <w:sz w:val="24"/>
          <w:rtl/>
        </w:rPr>
        <w:t>۵. نتایج صرفاً به صورت داده‌های تجمعی گزارش شده و اطلاعات فردی افشا نخواهد شد.</w:t>
      </w:r>
    </w:p>
    <w:p w:rsidR="002D7383" w:rsidRDefault="00B91B00" w:rsidP="005C0839">
      <w:pPr>
        <w:bidi/>
        <w:spacing w:after="100"/>
        <w:ind w:firstLine="283"/>
      </w:pPr>
      <w:r>
        <w:rPr>
          <w:color w:val="000000"/>
          <w:sz w:val="24"/>
          <w:rtl/>
        </w:rPr>
        <w:t>۶. تعارض منافع وجود ندارد.</w:t>
      </w:r>
    </w:p>
    <w:p w:rsidR="002D7383" w:rsidRPr="00904D49" w:rsidRDefault="00B91B00" w:rsidP="005C0839">
      <w:pPr>
        <w:bidi/>
        <w:spacing w:before="200" w:after="80"/>
        <w:rPr>
          <w:bCs/>
        </w:rPr>
      </w:pPr>
      <w:r w:rsidRPr="00904D49">
        <w:rPr>
          <w:bCs/>
          <w:color w:val="1F497D"/>
          <w:sz w:val="28"/>
          <w:rtl/>
        </w:rPr>
        <w:t>۲-۱۱- محدودیت‌های مطالعه:</w:t>
      </w:r>
    </w:p>
    <w:p w:rsidR="002D7383" w:rsidRDefault="00B91B00" w:rsidP="005C0839">
      <w:pPr>
        <w:bidi/>
        <w:spacing w:after="100"/>
        <w:ind w:firstLine="283"/>
      </w:pPr>
      <w:r>
        <w:rPr>
          <w:color w:val="000000"/>
          <w:sz w:val="24"/>
          <w:rtl/>
        </w:rPr>
        <w:t>۱. تعریف فنوتیپ: تعاریف MONW و MHO در مطالعات مختلف متفاوت است؛ در این مطالعه از تعریف TLGS پیروی می‌شود که مقایسه با سایر مطالعات را محدود می‌سازد.</w:t>
      </w:r>
    </w:p>
    <w:p w:rsidR="002D7383" w:rsidRDefault="00B91B00" w:rsidP="005C0839">
      <w:pPr>
        <w:bidi/>
        <w:spacing w:after="100"/>
        <w:ind w:firstLine="283"/>
      </w:pPr>
      <w:r>
        <w:rPr>
          <w:color w:val="000000"/>
          <w:sz w:val="24"/>
          <w:rtl/>
        </w:rPr>
        <w:t>۲. عدم وجود آلبومینوری: داده‌های ACR در TLGS در دسترس نیست؛ تشخیص CKD بر اساس eGFR و دیپ‌استیک پروتئین انجام می‌شود که ممکن است موجب دست‌کم‌گرفتن مراحل اولیه G1/G2 شود.</w:t>
      </w:r>
    </w:p>
    <w:p w:rsidR="002D7383" w:rsidRDefault="00B91B00" w:rsidP="005C0839">
      <w:pPr>
        <w:bidi/>
        <w:spacing w:after="100"/>
        <w:ind w:firstLine="283"/>
      </w:pPr>
      <w:r>
        <w:rPr>
          <w:color w:val="000000"/>
          <w:sz w:val="24"/>
          <w:rtl/>
        </w:rPr>
        <w:t>۳. حجم نمونه نوجوانان: تعداد شرکت‌کنندگان &lt; ۲۰ سال با فنوتیپ MONW یا MHO ممکن است برای برخی آنالیزهای subgroup محدودکننده باشد.</w:t>
      </w:r>
    </w:p>
    <w:p w:rsidR="002D7383" w:rsidRDefault="00B91B00" w:rsidP="005C0839">
      <w:pPr>
        <w:bidi/>
        <w:spacing w:after="100"/>
        <w:ind w:firstLine="283"/>
      </w:pPr>
      <w:r>
        <w:rPr>
          <w:color w:val="000000"/>
          <w:sz w:val="24"/>
          <w:rtl/>
        </w:rPr>
        <w:t>۴. Residual confounding: با وجود تعدیل متغیرها، عوامل اندازه‌گیری‌نشده (تغذیه، استرس، ژنتیک) همواره محتمل است.</w:t>
      </w:r>
    </w:p>
    <w:p w:rsidR="002D7383" w:rsidRDefault="00B91B00" w:rsidP="005C0839">
      <w:pPr>
        <w:bidi/>
        <w:spacing w:after="100"/>
        <w:ind w:firstLine="283"/>
      </w:pPr>
      <w:r>
        <w:rPr>
          <w:color w:val="000000"/>
          <w:sz w:val="24"/>
          <w:rtl/>
        </w:rPr>
        <w:t>۵. تعمیم‌پذیری: نتایج مرتبط با جمعیت شهری تهران است.</w:t>
      </w:r>
    </w:p>
    <w:p w:rsidR="002D7383" w:rsidRPr="00904D49" w:rsidRDefault="00B91B00" w:rsidP="005C0839">
      <w:pPr>
        <w:bidi/>
        <w:spacing w:before="200" w:after="80"/>
        <w:rPr>
          <w:bCs/>
        </w:rPr>
      </w:pPr>
      <w:r w:rsidRPr="00904D49">
        <w:rPr>
          <w:bCs/>
          <w:color w:val="1F497D"/>
          <w:sz w:val="28"/>
          <w:rtl/>
        </w:rPr>
        <w:t>منابع:</w:t>
      </w:r>
    </w:p>
    <w:p w:rsidR="002D7383" w:rsidRDefault="00B91B00" w:rsidP="005C0839">
      <w:pPr>
        <w:bidi/>
        <w:spacing w:after="100"/>
        <w:ind w:firstLine="283"/>
      </w:pPr>
      <w:r>
        <w:rPr>
          <w:color w:val="000000"/>
          <w:sz w:val="24"/>
          <w:rtl/>
        </w:rPr>
        <w:t>[1] Alizadeh S, et al. Metabolic phenotypes of obese, overweight, and normal weight individuals and risk of chronic kidney disease. Arch Endocrinol Metab. 2019.</w:t>
      </w:r>
    </w:p>
    <w:p w:rsidR="002D7383" w:rsidRDefault="00B91B00" w:rsidP="005C0839">
      <w:pPr>
        <w:bidi/>
        <w:spacing w:after="100"/>
        <w:ind w:firstLine="283"/>
      </w:pPr>
      <w:r>
        <w:rPr>
          <w:color w:val="000000"/>
          <w:sz w:val="24"/>
          <w:rtl/>
        </w:rPr>
        <w:t>[2] Eftekharzadeh A, et al. Legacy of the Tehran Lipid and Glucose Study: Chronic Kidney Disease. Int J Endocrinol Metab. 2018;16(4 Suppl):e84761.</w:t>
      </w:r>
    </w:p>
    <w:p w:rsidR="002D7383" w:rsidRDefault="00B91B00" w:rsidP="005C0839">
      <w:pPr>
        <w:bidi/>
        <w:spacing w:after="100"/>
        <w:ind w:firstLine="283"/>
      </w:pPr>
      <w:r>
        <w:rPr>
          <w:color w:val="000000"/>
          <w:sz w:val="24"/>
          <w:rtl/>
        </w:rPr>
        <w:t>[3] Sadeghi S, et al. Research on Obesity: A Quarter-Century Experience from TLGS. Int J Endocrinol Metab. 2026;24(2):e168110.</w:t>
      </w:r>
    </w:p>
    <w:p w:rsidR="002D7383" w:rsidRDefault="00B91B00" w:rsidP="005C0839">
      <w:pPr>
        <w:bidi/>
        <w:spacing w:after="100"/>
        <w:ind w:firstLine="283"/>
      </w:pPr>
      <w:r>
        <w:rPr>
          <w:color w:val="000000"/>
          <w:sz w:val="24"/>
          <w:rtl/>
        </w:rPr>
        <w:t>[4] Ahmadi SF, et al. Association of Body Mass Index with Clinical Outcomes in Non-Dialysis-Dependent CKD. Cardiorenal Med. 2016;6:37-49.</w:t>
      </w:r>
    </w:p>
    <w:p w:rsidR="002D7383" w:rsidRDefault="00B91B00" w:rsidP="005C0839">
      <w:pPr>
        <w:bidi/>
        <w:spacing w:after="100"/>
        <w:ind w:firstLine="283"/>
      </w:pPr>
      <w:r>
        <w:rPr>
          <w:color w:val="000000"/>
          <w:sz w:val="24"/>
          <w:rtl/>
        </w:rPr>
        <w:t>[5] Ruderman N, et al. The metabolically obese, normal-weight individual revisited. Diabetes. 1998;47(5):699-713.</w:t>
      </w:r>
    </w:p>
    <w:p w:rsidR="002D7383" w:rsidRDefault="00B91B00" w:rsidP="005C0839">
      <w:pPr>
        <w:bidi/>
        <w:spacing w:after="100"/>
        <w:ind w:firstLine="283"/>
      </w:pPr>
      <w:r>
        <w:rPr>
          <w:color w:val="000000"/>
          <w:sz w:val="24"/>
          <w:rtl/>
        </w:rPr>
        <w:t>[6] Thomas DM, et al. Metabolically healthy obesity: yes, it is real. Curr Diab Rep. 2019;19(10):62.</w:t>
      </w:r>
    </w:p>
    <w:sectPr w:rsidR="002D738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873910">
    <w:abstractNumId w:val="8"/>
  </w:num>
  <w:num w:numId="2" w16cid:durableId="2007977263">
    <w:abstractNumId w:val="6"/>
  </w:num>
  <w:num w:numId="3" w16cid:durableId="405500060">
    <w:abstractNumId w:val="5"/>
  </w:num>
  <w:num w:numId="4" w16cid:durableId="1529834372">
    <w:abstractNumId w:val="4"/>
  </w:num>
  <w:num w:numId="5" w16cid:durableId="1700548297">
    <w:abstractNumId w:val="7"/>
  </w:num>
  <w:num w:numId="6" w16cid:durableId="1798183272">
    <w:abstractNumId w:val="3"/>
  </w:num>
  <w:num w:numId="7" w16cid:durableId="1117917553">
    <w:abstractNumId w:val="2"/>
  </w:num>
  <w:num w:numId="8" w16cid:durableId="1656646917">
    <w:abstractNumId w:val="1"/>
  </w:num>
  <w:num w:numId="9" w16cid:durableId="197421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2D7383"/>
    <w:rsid w:val="00326F90"/>
    <w:rsid w:val="003946A0"/>
    <w:rsid w:val="003A515B"/>
    <w:rsid w:val="00497918"/>
    <w:rsid w:val="004E543E"/>
    <w:rsid w:val="005C0839"/>
    <w:rsid w:val="0060234F"/>
    <w:rsid w:val="0065407A"/>
    <w:rsid w:val="00722903"/>
    <w:rsid w:val="00766F6D"/>
    <w:rsid w:val="007D44E6"/>
    <w:rsid w:val="00885985"/>
    <w:rsid w:val="008C0903"/>
    <w:rsid w:val="008E1DB5"/>
    <w:rsid w:val="00904D49"/>
    <w:rsid w:val="009221DB"/>
    <w:rsid w:val="00945D78"/>
    <w:rsid w:val="00986B57"/>
    <w:rsid w:val="009D2A0F"/>
    <w:rsid w:val="009F2486"/>
    <w:rsid w:val="00AA1D8D"/>
    <w:rsid w:val="00AE063F"/>
    <w:rsid w:val="00B47730"/>
    <w:rsid w:val="00B52E62"/>
    <w:rsid w:val="00B62BAA"/>
    <w:rsid w:val="00B91B00"/>
    <w:rsid w:val="00BC7BF9"/>
    <w:rsid w:val="00CB0664"/>
    <w:rsid w:val="00DB4BB0"/>
    <w:rsid w:val="00E3429B"/>
    <w:rsid w:val="00EC2167"/>
    <w:rsid w:val="00F4568E"/>
    <w:rsid w:val="00F91EF6"/>
    <w:rsid w:val="00FC693F"/>
    <w:rsid w:val="00FE1A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BC72D"/>
  <w15:docId w15:val="{D61958B4-74AD-3342-ABAD-D5BA2B71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gerami</cp:lastModifiedBy>
  <cp:revision>27</cp:revision>
  <dcterms:created xsi:type="dcterms:W3CDTF">2013-12-23T23:15:00Z</dcterms:created>
  <dcterms:modified xsi:type="dcterms:W3CDTF">2026-06-19T10:23:00Z</dcterms:modified>
  <cp:category/>
</cp:coreProperties>
</file>