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8706" w14:textId="77777777" w:rsidR="004B4B6A" w:rsidRDefault="00000000" w:rsidP="00EC5AAC">
      <w:pPr>
        <w:pStyle w:val="Title"/>
        <w:jc w:val="both"/>
      </w:pPr>
      <w:r>
        <w:rPr>
          <w:color w:val="1F3A5F"/>
        </w:rPr>
        <w:t>Project 1 Memo - Monthly Analytics-Ready Dataset</w:t>
      </w:r>
    </w:p>
    <w:p w14:paraId="5049D55C" w14:textId="77777777" w:rsidR="004B4B6A" w:rsidRDefault="00000000" w:rsidP="00EC5AAC">
      <w:pPr>
        <w:jc w:val="both"/>
      </w:pPr>
      <w:r>
        <w:rPr>
          <w:b/>
        </w:rPr>
        <w:t>FIN 4333 Financial Analytics - Team Hemisphere</w:t>
      </w:r>
    </w:p>
    <w:p w14:paraId="3B8AFEB8" w14:textId="77777777" w:rsidR="004B4B6A" w:rsidRDefault="00000000" w:rsidP="00EC5AAC">
      <w:pPr>
        <w:jc w:val="both"/>
      </w:pPr>
      <w:r>
        <w:t>Company: Grameenphone Ltd. (DSE: GP)  |  Coverage: Jan 2020 - Dec 2024  |  60 monthly rows</w:t>
      </w:r>
    </w:p>
    <w:p w14:paraId="5E5A9995" w14:textId="77777777" w:rsidR="004B4B6A" w:rsidRDefault="00000000" w:rsidP="00EC5AAC">
      <w:pPr>
        <w:pStyle w:val="Heading1"/>
        <w:jc w:val="both"/>
      </w:pPr>
      <w:r>
        <w:t>1. Company and rationale</w:t>
      </w:r>
    </w:p>
    <w:p w14:paraId="54C2C092" w14:textId="77777777" w:rsidR="004B4B6A" w:rsidRDefault="00000000" w:rsidP="00EC5AAC">
      <w:pPr>
        <w:jc w:val="both"/>
      </w:pPr>
      <w:r>
        <w:t>Grameenphone is Bangladesh's largest listed telecom operator. It was chosen for its long, consistent audited annual reports, active DSE trading (a complete daily price history) and a January-December fiscal year that aligns with the project's calendar-year requirement.</w:t>
      </w:r>
    </w:p>
    <w:p w14:paraId="4E6279E7" w14:textId="77777777" w:rsidR="004B4B6A" w:rsidRDefault="00000000" w:rsidP="00EC5AAC">
      <w:pPr>
        <w:pStyle w:val="Heading1"/>
        <w:jc w:val="both"/>
      </w:pPr>
      <w:r>
        <w:t>2. Data sources</w:t>
      </w:r>
    </w:p>
    <w:p w14:paraId="32EB7D18" w14:textId="77777777" w:rsidR="004B4B6A" w:rsidRDefault="00000000" w:rsidP="00EC5AAC">
      <w:pPr>
        <w:pStyle w:val="ListBullet"/>
        <w:jc w:val="both"/>
      </w:pPr>
      <w:r>
        <w:rPr>
          <w:b/>
        </w:rPr>
        <w:t xml:space="preserve">Stock (daily -&gt; monthly): </w:t>
      </w:r>
      <w:r>
        <w:t>Daily price history from investing.com (Grameenphone Historical Data), 1 Jan 2020 - 30 Dec 2024 (1,163 trading days); 'Price' cleaned and resampled to month-end.</w:t>
      </w:r>
    </w:p>
    <w:p w14:paraId="0F2AC3F5" w14:textId="77777777" w:rsidR="004B4B6A" w:rsidRDefault="00000000" w:rsidP="00EC5AAC">
      <w:pPr>
        <w:pStyle w:val="ListBullet"/>
        <w:jc w:val="both"/>
      </w:pPr>
      <w:r>
        <w:rPr>
          <w:b/>
        </w:rPr>
        <w:t xml:space="preserve">Firm (annual): </w:t>
      </w:r>
      <w:r>
        <w:t>Revenue, Total Assets and EPS from Grameenphone's audited Annual Reports 2020-2024, read from each year's primary statements and cross-checked vs AR2024 Table-1 (p.89).</w:t>
      </w:r>
    </w:p>
    <w:p w14:paraId="76AC575B" w14:textId="77777777" w:rsidR="004B4B6A" w:rsidRDefault="00000000" w:rsidP="00EC5AAC">
      <w:pPr>
        <w:pStyle w:val="ListBullet"/>
        <w:jc w:val="both"/>
      </w:pPr>
      <w:r>
        <w:rPr>
          <w:b/>
        </w:rPr>
        <w:t xml:space="preserve">Macro (annual): </w:t>
      </w:r>
      <w:r>
        <w:t>Bangladesh GDP growth and CPI inflation from the World Bank Indicators API; the raw JSON response is saved, and a cached copy is retained as an offline fallback.</w:t>
      </w:r>
    </w:p>
    <w:p w14:paraId="4CA03798" w14:textId="77777777" w:rsidR="004B4B6A" w:rsidRDefault="00000000" w:rsidP="00EC5AAC">
      <w:pPr>
        <w:pStyle w:val="Heading1"/>
        <w:jc w:val="both"/>
      </w:pPr>
      <w:r>
        <w:t>3. Firm and macro values used</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4B4B6A" w14:paraId="5082580E" w14:textId="77777777" w:rsidTr="004B4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818DAC" w14:textId="77777777" w:rsidR="004B4B6A" w:rsidRDefault="00000000" w:rsidP="00EC5AAC">
            <w:pPr>
              <w:jc w:val="both"/>
            </w:pPr>
            <w:r>
              <w:t>Year</w:t>
            </w:r>
          </w:p>
        </w:tc>
        <w:tc>
          <w:tcPr>
            <w:tcW w:w="1440" w:type="dxa"/>
          </w:tcPr>
          <w:p w14:paraId="3A24D5F4" w14:textId="77777777" w:rsidR="004B4B6A" w:rsidRDefault="00000000" w:rsidP="00EC5AAC">
            <w:pPr>
              <w:jc w:val="both"/>
              <w:cnfStyle w:val="100000000000" w:firstRow="1" w:lastRow="0" w:firstColumn="0" w:lastColumn="0" w:oddVBand="0" w:evenVBand="0" w:oddHBand="0" w:evenHBand="0" w:firstRowFirstColumn="0" w:firstRowLastColumn="0" w:lastRowFirstColumn="0" w:lastRowLastColumn="0"/>
            </w:pPr>
            <w:r>
              <w:t>Revenue (mn BDT)</w:t>
            </w:r>
          </w:p>
        </w:tc>
        <w:tc>
          <w:tcPr>
            <w:tcW w:w="1440" w:type="dxa"/>
          </w:tcPr>
          <w:p w14:paraId="3230BCA5" w14:textId="77777777" w:rsidR="004B4B6A" w:rsidRDefault="00000000" w:rsidP="00EC5AAC">
            <w:pPr>
              <w:jc w:val="both"/>
              <w:cnfStyle w:val="100000000000" w:firstRow="1" w:lastRow="0" w:firstColumn="0" w:lastColumn="0" w:oddVBand="0" w:evenVBand="0" w:oddHBand="0" w:evenHBand="0" w:firstRowFirstColumn="0" w:firstRowLastColumn="0" w:lastRowFirstColumn="0" w:lastRowLastColumn="0"/>
            </w:pPr>
            <w:r>
              <w:t>Total assets (mn BDT)</w:t>
            </w:r>
          </w:p>
        </w:tc>
        <w:tc>
          <w:tcPr>
            <w:tcW w:w="1440" w:type="dxa"/>
          </w:tcPr>
          <w:p w14:paraId="12C1D8F7" w14:textId="77777777" w:rsidR="004B4B6A" w:rsidRDefault="00000000" w:rsidP="00EC5AAC">
            <w:pPr>
              <w:jc w:val="both"/>
              <w:cnfStyle w:val="100000000000" w:firstRow="1" w:lastRow="0" w:firstColumn="0" w:lastColumn="0" w:oddVBand="0" w:evenVBand="0" w:oddHBand="0" w:evenHBand="0" w:firstRowFirstColumn="0" w:firstRowLastColumn="0" w:lastRowFirstColumn="0" w:lastRowLastColumn="0"/>
            </w:pPr>
            <w:r>
              <w:t>EPS (BDT)</w:t>
            </w:r>
          </w:p>
        </w:tc>
        <w:tc>
          <w:tcPr>
            <w:tcW w:w="1440" w:type="dxa"/>
          </w:tcPr>
          <w:p w14:paraId="31AD3919" w14:textId="77777777" w:rsidR="004B4B6A" w:rsidRDefault="00000000" w:rsidP="00EC5AAC">
            <w:pPr>
              <w:jc w:val="both"/>
              <w:cnfStyle w:val="100000000000" w:firstRow="1" w:lastRow="0" w:firstColumn="0" w:lastColumn="0" w:oddVBand="0" w:evenVBand="0" w:oddHBand="0" w:evenHBand="0" w:firstRowFirstColumn="0" w:firstRowLastColumn="0" w:lastRowFirstColumn="0" w:lastRowLastColumn="0"/>
            </w:pPr>
            <w:r>
              <w:t>Inflation %</w:t>
            </w:r>
          </w:p>
        </w:tc>
        <w:tc>
          <w:tcPr>
            <w:tcW w:w="1440" w:type="dxa"/>
          </w:tcPr>
          <w:p w14:paraId="5D7444DA" w14:textId="77777777" w:rsidR="004B4B6A" w:rsidRDefault="00000000" w:rsidP="00EC5AAC">
            <w:pPr>
              <w:jc w:val="both"/>
              <w:cnfStyle w:val="100000000000" w:firstRow="1" w:lastRow="0" w:firstColumn="0" w:lastColumn="0" w:oddVBand="0" w:evenVBand="0" w:oddHBand="0" w:evenHBand="0" w:firstRowFirstColumn="0" w:firstRowLastColumn="0" w:lastRowFirstColumn="0" w:lastRowLastColumn="0"/>
            </w:pPr>
            <w:r>
              <w:t>GDP growth %</w:t>
            </w:r>
          </w:p>
        </w:tc>
      </w:tr>
      <w:tr w:rsidR="004B4B6A" w14:paraId="7D12484E" w14:textId="77777777" w:rsidTr="004B4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78EA67" w14:textId="77777777" w:rsidR="004B4B6A" w:rsidRDefault="00000000" w:rsidP="00EC5AAC">
            <w:pPr>
              <w:jc w:val="both"/>
            </w:pPr>
            <w:r>
              <w:t>2020</w:t>
            </w:r>
          </w:p>
        </w:tc>
        <w:tc>
          <w:tcPr>
            <w:tcW w:w="1440" w:type="dxa"/>
          </w:tcPr>
          <w:p w14:paraId="40C538AD"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139,606</w:t>
            </w:r>
          </w:p>
        </w:tc>
        <w:tc>
          <w:tcPr>
            <w:tcW w:w="1440" w:type="dxa"/>
          </w:tcPr>
          <w:p w14:paraId="691C14B8"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148,184</w:t>
            </w:r>
          </w:p>
        </w:tc>
        <w:tc>
          <w:tcPr>
            <w:tcW w:w="1440" w:type="dxa"/>
          </w:tcPr>
          <w:p w14:paraId="7553C8CF"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27.54</w:t>
            </w:r>
          </w:p>
        </w:tc>
        <w:tc>
          <w:tcPr>
            <w:tcW w:w="1440" w:type="dxa"/>
          </w:tcPr>
          <w:p w14:paraId="2A4B919B"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5.69</w:t>
            </w:r>
          </w:p>
        </w:tc>
        <w:tc>
          <w:tcPr>
            <w:tcW w:w="1440" w:type="dxa"/>
          </w:tcPr>
          <w:p w14:paraId="301DAA12"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3.45</w:t>
            </w:r>
          </w:p>
        </w:tc>
      </w:tr>
      <w:tr w:rsidR="004B4B6A" w14:paraId="04911680" w14:textId="77777777" w:rsidTr="004B4B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6CDB63" w14:textId="77777777" w:rsidR="004B4B6A" w:rsidRDefault="00000000" w:rsidP="00EC5AAC">
            <w:pPr>
              <w:jc w:val="both"/>
            </w:pPr>
            <w:r>
              <w:t>2021</w:t>
            </w:r>
          </w:p>
        </w:tc>
        <w:tc>
          <w:tcPr>
            <w:tcW w:w="1440" w:type="dxa"/>
          </w:tcPr>
          <w:p w14:paraId="082932F8"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143,066</w:t>
            </w:r>
          </w:p>
        </w:tc>
        <w:tc>
          <w:tcPr>
            <w:tcW w:w="1440" w:type="dxa"/>
          </w:tcPr>
          <w:p w14:paraId="2F950AF1"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163,007</w:t>
            </w:r>
          </w:p>
        </w:tc>
        <w:tc>
          <w:tcPr>
            <w:tcW w:w="1440" w:type="dxa"/>
          </w:tcPr>
          <w:p w14:paraId="03D197E5"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25.28</w:t>
            </w:r>
          </w:p>
        </w:tc>
        <w:tc>
          <w:tcPr>
            <w:tcW w:w="1440" w:type="dxa"/>
          </w:tcPr>
          <w:p w14:paraId="1ABCE597"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5.55</w:t>
            </w:r>
          </w:p>
        </w:tc>
        <w:tc>
          <w:tcPr>
            <w:tcW w:w="1440" w:type="dxa"/>
          </w:tcPr>
          <w:p w14:paraId="5BC08A93"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6.94</w:t>
            </w:r>
          </w:p>
        </w:tc>
      </w:tr>
      <w:tr w:rsidR="004B4B6A" w14:paraId="61922CBA" w14:textId="77777777" w:rsidTr="004B4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18F1F5" w14:textId="77777777" w:rsidR="004B4B6A" w:rsidRDefault="00000000" w:rsidP="00EC5AAC">
            <w:pPr>
              <w:jc w:val="both"/>
            </w:pPr>
            <w:r>
              <w:t>2022</w:t>
            </w:r>
          </w:p>
        </w:tc>
        <w:tc>
          <w:tcPr>
            <w:tcW w:w="1440" w:type="dxa"/>
          </w:tcPr>
          <w:p w14:paraId="51072C74"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150,403</w:t>
            </w:r>
          </w:p>
        </w:tc>
        <w:tc>
          <w:tcPr>
            <w:tcW w:w="1440" w:type="dxa"/>
          </w:tcPr>
          <w:p w14:paraId="1B413FED"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185,087</w:t>
            </w:r>
          </w:p>
        </w:tc>
        <w:tc>
          <w:tcPr>
            <w:tcW w:w="1440" w:type="dxa"/>
          </w:tcPr>
          <w:p w14:paraId="313E1C26"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22.29</w:t>
            </w:r>
          </w:p>
        </w:tc>
        <w:tc>
          <w:tcPr>
            <w:tcW w:w="1440" w:type="dxa"/>
          </w:tcPr>
          <w:p w14:paraId="36CAA85C"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7.70</w:t>
            </w:r>
          </w:p>
        </w:tc>
        <w:tc>
          <w:tcPr>
            <w:tcW w:w="1440" w:type="dxa"/>
          </w:tcPr>
          <w:p w14:paraId="17A9A100"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7.10</w:t>
            </w:r>
          </w:p>
        </w:tc>
      </w:tr>
      <w:tr w:rsidR="004B4B6A" w14:paraId="041A7127" w14:textId="77777777" w:rsidTr="004B4B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CAD075" w14:textId="77777777" w:rsidR="004B4B6A" w:rsidRDefault="00000000" w:rsidP="00EC5AAC">
            <w:pPr>
              <w:jc w:val="both"/>
            </w:pPr>
            <w:r>
              <w:t>2023</w:t>
            </w:r>
          </w:p>
        </w:tc>
        <w:tc>
          <w:tcPr>
            <w:tcW w:w="1440" w:type="dxa"/>
          </w:tcPr>
          <w:p w14:paraId="62AC0021"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158,716</w:t>
            </w:r>
          </w:p>
        </w:tc>
        <w:tc>
          <w:tcPr>
            <w:tcW w:w="1440" w:type="dxa"/>
          </w:tcPr>
          <w:p w14:paraId="7B8DD3D7"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200,420</w:t>
            </w:r>
          </w:p>
        </w:tc>
        <w:tc>
          <w:tcPr>
            <w:tcW w:w="1440" w:type="dxa"/>
          </w:tcPr>
          <w:p w14:paraId="0B04E7DA"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24.49</w:t>
            </w:r>
          </w:p>
        </w:tc>
        <w:tc>
          <w:tcPr>
            <w:tcW w:w="1440" w:type="dxa"/>
          </w:tcPr>
          <w:p w14:paraId="563F5CB4"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9.88</w:t>
            </w:r>
          </w:p>
        </w:tc>
        <w:tc>
          <w:tcPr>
            <w:tcW w:w="1440" w:type="dxa"/>
          </w:tcPr>
          <w:p w14:paraId="57D43C4E" w14:textId="77777777" w:rsidR="004B4B6A" w:rsidRDefault="00000000" w:rsidP="00EC5AAC">
            <w:pPr>
              <w:jc w:val="both"/>
              <w:cnfStyle w:val="000000010000" w:firstRow="0" w:lastRow="0" w:firstColumn="0" w:lastColumn="0" w:oddVBand="0" w:evenVBand="0" w:oddHBand="0" w:evenHBand="1" w:firstRowFirstColumn="0" w:firstRowLastColumn="0" w:lastRowFirstColumn="0" w:lastRowLastColumn="0"/>
            </w:pPr>
            <w:r>
              <w:t>5.78</w:t>
            </w:r>
          </w:p>
        </w:tc>
      </w:tr>
      <w:tr w:rsidR="004B4B6A" w14:paraId="2A420E28" w14:textId="77777777" w:rsidTr="004B4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739F77" w14:textId="77777777" w:rsidR="004B4B6A" w:rsidRDefault="00000000" w:rsidP="00EC5AAC">
            <w:pPr>
              <w:jc w:val="both"/>
            </w:pPr>
            <w:r>
              <w:t>2024</w:t>
            </w:r>
          </w:p>
        </w:tc>
        <w:tc>
          <w:tcPr>
            <w:tcW w:w="1440" w:type="dxa"/>
          </w:tcPr>
          <w:p w14:paraId="3FB957D8"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158,447</w:t>
            </w:r>
          </w:p>
        </w:tc>
        <w:tc>
          <w:tcPr>
            <w:tcW w:w="1440" w:type="dxa"/>
          </w:tcPr>
          <w:p w14:paraId="446BDB7A"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198,853</w:t>
            </w:r>
          </w:p>
        </w:tc>
        <w:tc>
          <w:tcPr>
            <w:tcW w:w="1440" w:type="dxa"/>
          </w:tcPr>
          <w:p w14:paraId="78CFA145"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26.89</w:t>
            </w:r>
          </w:p>
        </w:tc>
        <w:tc>
          <w:tcPr>
            <w:tcW w:w="1440" w:type="dxa"/>
          </w:tcPr>
          <w:p w14:paraId="506ADEFC"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10.47</w:t>
            </w:r>
          </w:p>
        </w:tc>
        <w:tc>
          <w:tcPr>
            <w:tcW w:w="1440" w:type="dxa"/>
          </w:tcPr>
          <w:p w14:paraId="2EF93A65" w14:textId="77777777" w:rsidR="004B4B6A" w:rsidRDefault="00000000" w:rsidP="00EC5AAC">
            <w:pPr>
              <w:jc w:val="both"/>
              <w:cnfStyle w:val="000000100000" w:firstRow="0" w:lastRow="0" w:firstColumn="0" w:lastColumn="0" w:oddVBand="0" w:evenVBand="0" w:oddHBand="1" w:evenHBand="0" w:firstRowFirstColumn="0" w:firstRowLastColumn="0" w:lastRowFirstColumn="0" w:lastRowLastColumn="0"/>
            </w:pPr>
            <w:r>
              <w:t>4.22</w:t>
            </w:r>
          </w:p>
        </w:tc>
      </w:tr>
    </w:tbl>
    <w:p w14:paraId="4325E9BA" w14:textId="77777777" w:rsidR="004B4B6A" w:rsidRDefault="00000000" w:rsidP="00EC5AAC">
      <w:pPr>
        <w:pStyle w:val="Heading1"/>
        <w:jc w:val="both"/>
      </w:pPr>
      <w:r>
        <w:t>4. Major steps</w:t>
      </w:r>
    </w:p>
    <w:p w14:paraId="20844C34" w14:textId="77777777" w:rsidR="004B4B6A" w:rsidRDefault="00000000" w:rsidP="00EC5AAC">
      <w:pPr>
        <w:pStyle w:val="ListNumber"/>
        <w:jc w:val="both"/>
      </w:pPr>
      <w:r>
        <w:t>Import and clean the daily stock file (parse dates, coerce prices, drop bad/duplicate rows, sort).</w:t>
      </w:r>
    </w:p>
    <w:p w14:paraId="0E6C333F" w14:textId="77777777" w:rsidR="004B4B6A" w:rsidRDefault="00000000" w:rsidP="00EC5AAC">
      <w:pPr>
        <w:pStyle w:val="ListNumber"/>
        <w:jc w:val="both"/>
      </w:pPr>
      <w:r>
        <w:t>Resample daily closes to month-end prices; compute monthly returns from them.</w:t>
      </w:r>
    </w:p>
    <w:p w14:paraId="67F6AEE2" w14:textId="77777777" w:rsidR="004B4B6A" w:rsidRDefault="00000000" w:rsidP="00EC5AAC">
      <w:pPr>
        <w:pStyle w:val="ListNumber"/>
        <w:jc w:val="both"/>
      </w:pPr>
      <w:r>
        <w:t>Load the annual firm variables (Revenue, Total Assets, EPS).</w:t>
      </w:r>
    </w:p>
    <w:p w14:paraId="7D9FFA60" w14:textId="77777777" w:rsidR="004B4B6A" w:rsidRDefault="00000000" w:rsidP="00EC5AAC">
      <w:pPr>
        <w:pStyle w:val="ListNumber"/>
        <w:jc w:val="both"/>
      </w:pPr>
      <w:r>
        <w:lastRenderedPageBreak/>
        <w:t>Retrieve the two macro indicators from the World Bank API and save the raw JSON.</w:t>
      </w:r>
    </w:p>
    <w:p w14:paraId="7D5532C0" w14:textId="77777777" w:rsidR="004B4B6A" w:rsidRDefault="00000000" w:rsidP="00EC5AAC">
      <w:pPr>
        <w:pStyle w:val="ListNumber"/>
        <w:jc w:val="both"/>
      </w:pPr>
      <w:r>
        <w:t>Align annual firm and macro values onto monthly rows by calendar year.</w:t>
      </w:r>
    </w:p>
    <w:p w14:paraId="4888F5F2" w14:textId="77777777" w:rsidR="004B4B6A" w:rsidRDefault="00000000" w:rsidP="00EC5AAC">
      <w:pPr>
        <w:pStyle w:val="ListNumber"/>
        <w:jc w:val="both"/>
      </w:pPr>
      <w:r>
        <w:t>Merge all components into one monthly dataset and order the required columns.</w:t>
      </w:r>
    </w:p>
    <w:p w14:paraId="49502B0B" w14:textId="77777777" w:rsidR="004B4B6A" w:rsidRDefault="00000000" w:rsidP="00EC5AAC">
      <w:pPr>
        <w:pStyle w:val="ListNumber"/>
        <w:jc w:val="both"/>
      </w:pPr>
      <w:r>
        <w:t>Run quality checks and save the final CSV.</w:t>
      </w:r>
    </w:p>
    <w:p w14:paraId="23900E94" w14:textId="77777777" w:rsidR="004B4B6A" w:rsidRDefault="00000000" w:rsidP="00EC5AAC">
      <w:pPr>
        <w:pStyle w:val="Heading1"/>
        <w:jc w:val="both"/>
      </w:pPr>
      <w:r>
        <w:t>5. Alignment rule</w:t>
      </w:r>
    </w:p>
    <w:p w14:paraId="688C057A" w14:textId="77777777" w:rsidR="004B4B6A" w:rsidRDefault="00000000" w:rsidP="00EC5AAC">
      <w:pPr>
        <w:jc w:val="both"/>
      </w:pPr>
      <w:r>
        <w:t>The dataset is monthly but firm and macro variables are annual, so each annual value is assigned to every month of the same calendar year (all twelve 2023 rows carry the 2023 figures). This is a left-merge on the 'year' key.</w:t>
      </w:r>
    </w:p>
    <w:p w14:paraId="5EBAFE9F" w14:textId="77777777" w:rsidR="004B4B6A" w:rsidRDefault="00000000" w:rsidP="00EC5AAC">
      <w:pPr>
        <w:pStyle w:val="Heading1"/>
        <w:jc w:val="both"/>
      </w:pPr>
      <w:r>
        <w:t>6. Data-quality notes</w:t>
      </w:r>
    </w:p>
    <w:p w14:paraId="46C709C8" w14:textId="77777777" w:rsidR="004B4B6A" w:rsidRDefault="00000000" w:rsidP="00EC5AAC">
      <w:pPr>
        <w:pStyle w:val="ListBullet"/>
        <w:jc w:val="both"/>
      </w:pPr>
      <w:r>
        <w:t>All 15 automated checks: 15 PASS / 0 REVIEW.</w:t>
      </w:r>
    </w:p>
    <w:p w14:paraId="5CCF0656" w14:textId="77777777" w:rsidR="004B4B6A" w:rsidRDefault="00000000" w:rsidP="00EC5AAC">
      <w:pPr>
        <w:pStyle w:val="ListBullet"/>
        <w:jc w:val="both"/>
      </w:pPr>
      <w:r>
        <w:t>60/60 monthly rows; dates month-end and continuous (no gaps or duplicates).</w:t>
      </w:r>
    </w:p>
    <w:p w14:paraId="0D32F26D" w14:textId="77777777" w:rsidR="004B4B6A" w:rsidRDefault="00000000" w:rsidP="00EC5AAC">
      <w:pPr>
        <w:pStyle w:val="ListBullet"/>
        <w:jc w:val="both"/>
      </w:pPr>
      <w:r>
        <w:t>April 2020 has no month-end price because the DSE suspended all trading 26 Mar - 31 May 2020 (COVID-19; last session 25 Mar, resumed 31 May). The dataset preserves this true 'no trade' state.</w:t>
      </w:r>
    </w:p>
    <w:p w14:paraId="768B09A0" w14:textId="77777777" w:rsidR="004B4B6A" w:rsidRDefault="00000000" w:rsidP="00EC5AAC">
      <w:pPr>
        <w:pStyle w:val="ListBullet"/>
        <w:jc w:val="both"/>
      </w:pPr>
      <w:r>
        <w:t>monthly_stock_return is NaN for Jan-2020 (no prior month), Apr-2020 (no price) and May-2020 (prior month NaN). A gap-free series could carry forward the 25-Mar-2020 close - a modelling choice.</w:t>
      </w:r>
    </w:p>
    <w:p w14:paraId="4EFD2AA6" w14:textId="77777777" w:rsidR="004B4B6A" w:rsidRDefault="00000000" w:rsidP="00EC5AAC">
      <w:pPr>
        <w:pStyle w:val="ListBullet"/>
        <w:jc w:val="both"/>
      </w:pPr>
      <w:r>
        <w:t>Annual firm/macro columns fully populated after alignment.</w:t>
      </w:r>
    </w:p>
    <w:p w14:paraId="6159EEF4" w14:textId="77777777" w:rsidR="004B4B6A" w:rsidRDefault="00000000" w:rsidP="00EC5AAC">
      <w:pPr>
        <w:pStyle w:val="ListBullet"/>
        <w:jc w:val="both"/>
      </w:pPr>
      <w:r>
        <w:t>World Bank reports Bangladesh GDP on a fiscal-year (Jul-Jun) basis, so each year's growth figure is a fiscal-year value mapped onto the calendar year.</w:t>
      </w:r>
    </w:p>
    <w:p w14:paraId="5230FFE0" w14:textId="77777777" w:rsidR="004B4B6A" w:rsidRDefault="00000000" w:rsidP="00EC5AAC">
      <w:pPr>
        <w:pStyle w:val="Heading1"/>
        <w:jc w:val="both"/>
      </w:pPr>
      <w:r>
        <w:lastRenderedPageBreak/>
        <w:t>7. Overview</w:t>
      </w:r>
    </w:p>
    <w:p w14:paraId="3CD50A2B" w14:textId="77777777" w:rsidR="004B4B6A" w:rsidRDefault="00000000" w:rsidP="00EC5AAC">
      <w:pPr>
        <w:jc w:val="both"/>
      </w:pPr>
      <w:r>
        <w:rPr>
          <w:noProof/>
        </w:rPr>
        <w:drawing>
          <wp:inline distT="0" distB="0" distL="0" distR="0" wp14:anchorId="12AD8FBA" wp14:editId="276F9CAD">
            <wp:extent cx="5760720" cy="33284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chart.png"/>
                    <pic:cNvPicPr/>
                  </pic:nvPicPr>
                  <pic:blipFill>
                    <a:blip r:embed="rId6"/>
                    <a:stretch>
                      <a:fillRect/>
                    </a:stretch>
                  </pic:blipFill>
                  <pic:spPr>
                    <a:xfrm>
                      <a:off x="0" y="0"/>
                      <a:ext cx="5760720" cy="3328416"/>
                    </a:xfrm>
                    <a:prstGeom prst="rect">
                      <a:avLst/>
                    </a:prstGeom>
                  </pic:spPr>
                </pic:pic>
              </a:graphicData>
            </a:graphic>
          </wp:inline>
        </w:drawing>
      </w:r>
    </w:p>
    <w:p w14:paraId="53F3ECA3" w14:textId="77777777" w:rsidR="004B4B6A" w:rsidRDefault="00000000" w:rsidP="00EC5AAC">
      <w:pPr>
        <w:pStyle w:val="Heading1"/>
        <w:jc w:val="both"/>
      </w:pPr>
      <w:r>
        <w:t>8. Reproducibility</w:t>
      </w:r>
    </w:p>
    <w:p w14:paraId="4FC9FAF6" w14:textId="77777777" w:rsidR="004B4B6A" w:rsidRDefault="00000000" w:rsidP="00EC5AAC">
      <w:pPr>
        <w:jc w:val="both"/>
      </w:pPr>
      <w:r>
        <w:t>The full workflow is this notebook (Restart &amp; Run All rebuilds every output). pipeline.py runs the identical workflow head-less. The macro step calls the live World Bank API and falls back to cached raw JSON if offline, so the run is reproducible.</w:t>
      </w:r>
    </w:p>
    <w:sectPr w:rsidR="004B4B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5165372">
    <w:abstractNumId w:val="8"/>
  </w:num>
  <w:num w:numId="2" w16cid:durableId="2135757443">
    <w:abstractNumId w:val="6"/>
  </w:num>
  <w:num w:numId="3" w16cid:durableId="479345684">
    <w:abstractNumId w:val="5"/>
  </w:num>
  <w:num w:numId="4" w16cid:durableId="554197320">
    <w:abstractNumId w:val="4"/>
  </w:num>
  <w:num w:numId="5" w16cid:durableId="2013876807">
    <w:abstractNumId w:val="7"/>
  </w:num>
  <w:num w:numId="6" w16cid:durableId="1504010730">
    <w:abstractNumId w:val="3"/>
  </w:num>
  <w:num w:numId="7" w16cid:durableId="338318543">
    <w:abstractNumId w:val="2"/>
  </w:num>
  <w:num w:numId="8" w16cid:durableId="41487214">
    <w:abstractNumId w:val="1"/>
  </w:num>
  <w:num w:numId="9" w16cid:durableId="125142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B6A"/>
    <w:rsid w:val="00AA1D8D"/>
    <w:rsid w:val="00B47730"/>
    <w:rsid w:val="00CB0664"/>
    <w:rsid w:val="00D16644"/>
    <w:rsid w:val="00EC5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083E0"/>
  <w14:defaultImageDpi w14:val="300"/>
  <w15:docId w15:val="{F8C2B60C-31EA-42A3-A5BF-330B1D9A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Golam Rahat</cp:lastModifiedBy>
  <cp:revision>2</cp:revision>
  <dcterms:created xsi:type="dcterms:W3CDTF">2013-12-23T23:15:00Z</dcterms:created>
  <dcterms:modified xsi:type="dcterms:W3CDTF">2026-06-19T05:22:00Z</dcterms:modified>
  <cp:category/>
</cp:coreProperties>
</file>