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539B" w14:textId="77777777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8"/>
          <w:szCs w:val="28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8"/>
          <w:szCs w:val="28"/>
        </w:rPr>
        <w:t>Target (TGT) Risk MEMO</w:t>
      </w:r>
    </w:p>
    <w:p w14:paraId="6EC32604" w14:textId="63298580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T</w:t>
      </w:r>
      <w: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o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Investment Committee</w:t>
      </w:r>
    </w:p>
    <w:p w14:paraId="4F9656F2" w14:textId="77777777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From: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Team Hemisphere</w:t>
      </w:r>
    </w:p>
    <w:p w14:paraId="5592668B" w14:textId="18CA7182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Date: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June </w:t>
      </w:r>
      <w: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06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, 2026</w:t>
      </w:r>
    </w:p>
    <w:p w14:paraId="6C74BA29" w14:textId="77777777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Subject: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Market Risk Audit &amp; Volatility Outlook: TGT</w:t>
      </w:r>
    </w:p>
    <w:p w14:paraId="5516A4AA" w14:textId="77777777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I. Executive Summary</w:t>
      </w:r>
    </w:p>
    <w:p w14:paraId="60B7EBA4" w14:textId="012480DF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Quantitative modeling of Target Corp (TGT) historical equity returns (2020–2025) indicates an impending, systematic escalation in market risk over the immediate tactical horizon. A structural grid </w:t>
      </w:r>
      <w:proofErr w:type="gramStart"/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search optimization</w:t>
      </w:r>
      <w:proofErr w:type="gramEnd"/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reveals that Target’s mean log returns have decayed into a pure random walk </w:t>
      </w:r>
      <w:proofErr w:type="gramStart"/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ARIMA(</w:t>
      </w:r>
      <w:proofErr w:type="gramEnd"/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0,0,0), highlighting 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that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directional forecasting yields zero statistical edge. Concurrently, parametric variance modeling using a fat-tailed 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GARCH (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1,1)-Student’s t engine detects a strong volatility clustering regime. Forward projections show daily conditional volatility rising from 1.74% to 1.95% over the next 5 trading days, compounding to a 4.15% cumulative variance pool. Risk thresholds are breached; immediate capital preservation measures are required.</w:t>
      </w:r>
    </w:p>
    <w:p w14:paraId="0AD7E346" w14:textId="77777777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II. Historical Market Context</w:t>
      </w:r>
    </w:p>
    <w:p w14:paraId="1736AF1A" w14:textId="4070CC20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The data asset spanning 2020 through 2025 incorporates two separate macroeconomic regimes: the volatile pandemic supply-chain expansion and the subsequent inflationary consumer compression. Visually and statistically, TGT displays extreme heteroskedasticity (volatility clustering), characterized by 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massive, isolated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variance </w:t>
      </w:r>
      <w:proofErr w:type="gramStart"/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shocks</w:t>
      </w:r>
      <w:proofErr w:type="gramEnd"/>
      <w: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most notably the historic May 2022 single-day earnings gap contraction of -25%</w:t>
      </w:r>
    </w:p>
    <w:p w14:paraId="27E8348A" w14:textId="1C5A58A7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An Augmented Dickey-Fuller (ADF) test confirmed structural stationarity of the first-differenced log return series (p &lt; 0.01), making it eligible for secondary parametric evaluation. However, the sample exhibits </w:t>
      </w:r>
      <w:proofErr w:type="spellStart"/>
      <w:proofErr w:type="gramStart"/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a</w:t>
      </w:r>
      <w:proofErr w:type="spellEnd"/>
      <w:proofErr w:type="gramEnd"/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extreme Jarque-Bera </w:t>
      </w:r>
      <w:proofErr w:type="gramStart"/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statistic</w:t>
      </w:r>
      <w:proofErr w:type="gramEnd"/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fueled by an excess kurtosis of 36.51 and a negative skewness of -2.19. This mathematically proves that standard normal distributions collapse when evaluating Target's tail risks, requiring a heavy-tailed error configuration to avoid systemic under-hedging.</w:t>
      </w:r>
    </w:p>
    <w:p w14:paraId="3399D574" w14:textId="77777777" w:rsidR="00E42F2A" w:rsidRDefault="00E42F2A">
      <w:pP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br w:type="page"/>
      </w:r>
    </w:p>
    <w:p w14:paraId="12345F89" w14:textId="5107CEEA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lastRenderedPageBreak/>
        <w:t>III. Model Forecast Results</w:t>
      </w:r>
    </w:p>
    <w:p w14:paraId="7E41D698" w14:textId="13601AA6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A. Mean Return Specification </w:t>
      </w:r>
      <w: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(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ARIMA</w:t>
      </w:r>
      <w: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)</w:t>
      </w:r>
    </w:p>
    <w:p w14:paraId="3ED27E87" w14:textId="61C35AF4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An exhaustive grid-search testing 72 permutations of Autoregressive (p), Integrated (d), and Moving Average (q) parameters optimized against the Akaike Information Criterion (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AIC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) selected a baseline 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ARIMA</w:t>
      </w:r>
      <w: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(0,0,0)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(AIC = -5907.32).</w:t>
      </w:r>
    </w:p>
    <w:p w14:paraId="2C4CDDE1" w14:textId="2608B153" w:rsidR="00E42F2A" w:rsidRPr="00E42F2A" w:rsidRDefault="00E42F2A" w:rsidP="00E42F2A">
      <w:pPr>
        <w:numPr>
          <w:ilvl w:val="0"/>
          <w:numId w:val="10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The estimated constant mean drift coefficient (</w:t>
      </w:r>
      <w: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µ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= 0.0001, p = 0.838) is statistically indistinguishable from zero.</w:t>
      </w:r>
    </w:p>
    <w:p w14:paraId="1BE8DC9A" w14:textId="5E294651" w:rsidR="00E42F2A" w:rsidRPr="00E42F2A" w:rsidRDefault="00E42F2A" w:rsidP="00E42F2A">
      <w:pPr>
        <w:numPr>
          <w:ilvl w:val="0"/>
          <w:numId w:val="10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The 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Ljung-Box (Q)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test returns a diagnostic p-value of 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0.33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, confirming that all sequential dependencies have been exhausted and residuals represent absolute white noise. Consequently, the 10-day point asset forecast collapses into a flat horizontal mean trajectory.</w:t>
      </w:r>
    </w:p>
    <w:p w14:paraId="4F63CDF2" w14:textId="2B466386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B. Risk Variance Specification (GARCH)</w:t>
      </w:r>
    </w:p>
    <w:p w14:paraId="42E09A20" w14:textId="624BD240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To accurately track and project variance momentum, a GARCH</w:t>
      </w:r>
      <w: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(1,1) framework was executed using a standardized Student’s t-distribution (AIC = 5219.24). The parameter estimation breaks down as follows:</w:t>
      </w:r>
    </w:p>
    <w:p w14:paraId="3D8595F7" w14:textId="5D999B74" w:rsidR="00E42F2A" w:rsidRPr="00E42F2A" w:rsidRDefault="00E42F2A" w:rsidP="00E42F2A">
      <w:pPr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Omega (</w:t>
      </w:r>
      <w: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Ɯ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= 0.7135, p = 0.084):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Baseline invariant long-run variance foundation.</w:t>
      </w:r>
    </w:p>
    <w:p w14:paraId="48D7047D" w14:textId="2120B5FA" w:rsidR="00E42F2A" w:rsidRPr="00E42F2A" w:rsidRDefault="00E42F2A" w:rsidP="00E42F2A">
      <w:pPr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Alpha (</w:t>
      </w:r>
      <w:r w:rsidR="00D0626D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α</w:t>
      </w:r>
      <w:r w:rsidR="00D0626D"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[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1] = 0.1248, p = 0.102):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Direct sensitivity to immediate market shocks/news.</w:t>
      </w:r>
    </w:p>
    <w:p w14:paraId="7BD40E7E" w14:textId="5F148ECE" w:rsidR="00E42F2A" w:rsidRPr="00E42F2A" w:rsidRDefault="00E42F2A" w:rsidP="00E42F2A">
      <w:pPr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Beta (</w:t>
      </w:r>
      <w:r w:rsidR="00D0626D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β</w:t>
      </w:r>
      <w:r w:rsidR="00D0626D"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[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1] = 0.7196, p &lt; 0.001):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Memory coefficient tracking historical conditional variance.</w:t>
      </w:r>
    </w:p>
    <w:p w14:paraId="113CE4DF" w14:textId="2FF9D818" w:rsidR="00E42F2A" w:rsidRPr="00D0626D" w:rsidRDefault="00E42F2A" w:rsidP="00D0626D">
      <w:pPr>
        <w:jc w:val="center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D0626D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Systemic Volatility </w:t>
      </w:r>
      <w:r w:rsidR="00D0626D" w:rsidRPr="00D0626D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Persistence (α</w:t>
      </w:r>
      <w:r w:rsidRPr="00D0626D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1 + </w:t>
      </w:r>
      <w:r w:rsidR="00D0626D" w:rsidRPr="00D0626D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β</w:t>
      </w:r>
      <w:r w:rsidRPr="00D0626D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1) = 0.8444</w:t>
      </w:r>
    </w:p>
    <w:p w14:paraId="68250478" w14:textId="6A0A3239" w:rsidR="00E42F2A" w:rsidRPr="00D0626D" w:rsidRDefault="00E42F2A" w:rsidP="00E42F2A">
      <w:p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D0626D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This high degree of persistence demonstrates that variance shocks possess a half-life of 4.10 days, forcing conditional volatility to mean-revert gradually toward an elevated structural long-run daily baseline of 2.1413</w:t>
      </w:r>
      <w:r w:rsidR="00D0626D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%</w:t>
      </w:r>
      <w:r w:rsidRPr="00D0626D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.</w:t>
      </w:r>
    </w:p>
    <w:p w14:paraId="44901962" w14:textId="77777777" w:rsidR="00D0626D" w:rsidRDefault="00D0626D" w:rsidP="00E42F2A">
      <w:pPr>
        <w:jc w:val="both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br/>
      </w:r>
    </w:p>
    <w:p w14:paraId="6AEA5141" w14:textId="77777777" w:rsidR="00D0626D" w:rsidRDefault="00D0626D">
      <w:pP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br w:type="page"/>
      </w:r>
    </w:p>
    <w:p w14:paraId="6F29580B" w14:textId="672AAAE0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lastRenderedPageBreak/>
        <w:t>5-Day-Ahead Out-of-Sample Volatility Projection</w:t>
      </w:r>
    </w:p>
    <w:p w14:paraId="20237FC8" w14:textId="77777777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The forward-looking operational path shows an accelerating accumulation of daily risk:</w:t>
      </w:r>
    </w:p>
    <w:p w14:paraId="0CE9D0C9" w14:textId="0CBD509A" w:rsidR="00E42F2A" w:rsidRPr="00E42F2A" w:rsidRDefault="00E42F2A" w:rsidP="00E42F2A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Horizon T+1: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Daily Volatility = 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1.7399</w:t>
      </w:r>
      <w:proofErr w:type="gramStart"/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%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(</w:t>
      </w:r>
      <w:proofErr w:type="gramEnd"/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Annualized Vol: 27.6204%)</w:t>
      </w:r>
    </w:p>
    <w:p w14:paraId="00FB5A2F" w14:textId="6E003F92" w:rsidR="00E42F2A" w:rsidRPr="00E42F2A" w:rsidRDefault="00E42F2A" w:rsidP="00E42F2A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Horizon T+2: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Daily Volatility = 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1.8082%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(Annualized Vol: 28.7049%)</w:t>
      </w:r>
    </w:p>
    <w:p w14:paraId="45BF622A" w14:textId="0626E816" w:rsidR="00E42F2A" w:rsidRPr="00E42F2A" w:rsidRDefault="00E42F2A" w:rsidP="00E42F2A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Horizon T+3: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Daily Volatility = 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1.8640%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(Annualized Vol: 29.5897%)</w:t>
      </w:r>
    </w:p>
    <w:p w14:paraId="5A25BBBA" w14:textId="2C54D405" w:rsidR="00E42F2A" w:rsidRPr="00E42F2A" w:rsidRDefault="00E42F2A" w:rsidP="00E42F2A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Horizon T+4: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Daily Volatility = 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1.9098%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(Annualized Vol: 30.3168%)</w:t>
      </w:r>
    </w:p>
    <w:p w14:paraId="749FA509" w14:textId="1FC5528D" w:rsidR="00E42F2A" w:rsidRPr="00E42F2A" w:rsidRDefault="00E42F2A" w:rsidP="00E42F2A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Horizon T+5: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Daily Volatility = 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1.9476%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(Annualized Vol: 30.9174%)</w:t>
      </w:r>
    </w:p>
    <w:p w14:paraId="2B8B3BA3" w14:textId="5B9F9467" w:rsidR="00E42F2A" w:rsidRPr="00E42F2A" w:rsidRDefault="00E42F2A" w:rsidP="00E42F2A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Total Cumulative 5-Day Exposure Window Volatility: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</w:t>
      </w: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4.1487%</w:t>
      </w:r>
    </w:p>
    <w:p w14:paraId="7C201B36" w14:textId="77777777" w:rsidR="00D0626D" w:rsidRDefault="00D0626D" w:rsidP="00E42F2A">
      <w:pPr>
        <w:jc w:val="both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</w:p>
    <w:p w14:paraId="5E89B8E2" w14:textId="77777777" w:rsidR="00D0626D" w:rsidRDefault="00D0626D">
      <w:pP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br w:type="page"/>
      </w:r>
    </w:p>
    <w:p w14:paraId="177BAF50" w14:textId="76C0D3C9" w:rsidR="00E42F2A" w:rsidRPr="00E42F2A" w:rsidRDefault="00E42F2A" w:rsidP="00E42F2A">
      <w:pPr>
        <w:jc w:val="both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lastRenderedPageBreak/>
        <w:t>IV. Strategic Recommendation</w:t>
      </w:r>
    </w:p>
    <w:p w14:paraId="7F015465" w14:textId="32E2CBF1" w:rsidR="00E42F2A" w:rsidRPr="00E42F2A" w:rsidRDefault="00E42F2A" w:rsidP="00E42F2A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Delta-Neutral Hedging: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Because the mean return is a zero-drift random walk ARIMA</w:t>
      </w:r>
      <w:r w:rsidR="00D0626D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(0,0,0) and variance is expanding via GARCH, directional long positions carry negative risk-adjusted utility. Traders should hedge long delta exposure immediately via the options market.</w:t>
      </w:r>
    </w:p>
    <w:p w14:paraId="710F99B4" w14:textId="50AC3954" w:rsidR="00E42F2A" w:rsidRPr="00E42F2A" w:rsidRDefault="00E42F2A" w:rsidP="00E42F2A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Volatility Positioning (Long Gamma/Vega):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Given the projected expansion of daily volatility toward its 2.14% long-run target, current implied volatility options structures are underpricing tail risk. We recommend executing near-the-money long straddles or strangles to harvest gains from expanding variance.</w:t>
      </w:r>
    </w:p>
    <w:p w14:paraId="7E8887B2" w14:textId="6844C665" w:rsidR="00E42F2A" w:rsidRPr="00E42F2A" w:rsidRDefault="00E42F2A" w:rsidP="00E42F2A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</w:pPr>
      <w:r w:rsidRPr="00E42F2A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</w:rPr>
        <w:t>De-leveraging Tight Stop Boundaries: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The forecast shows annualized asset volatility rising past 30.9%. Quantitative risk managers must widen intraday stop-loss bands to prevent forced liquidation from </w:t>
      </w:r>
      <w:r w:rsidR="00D0626D"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>noise or</w:t>
      </w:r>
      <w:r w:rsidRPr="00E42F2A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</w:rPr>
        <w:t xml:space="preserve"> decrease aggregate position size by at least 25% to preserve capital.</w:t>
      </w:r>
    </w:p>
    <w:p w14:paraId="3F3D9667" w14:textId="711AFA25" w:rsidR="00596978" w:rsidRPr="00E42F2A" w:rsidRDefault="00596978" w:rsidP="00E42F2A">
      <w:pPr>
        <w:jc w:val="both"/>
        <w:rPr>
          <w:sz w:val="24"/>
          <w:szCs w:val="24"/>
        </w:rPr>
      </w:pPr>
    </w:p>
    <w:sectPr w:rsidR="00596978" w:rsidRPr="00E42F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E7A10"/>
    <w:multiLevelType w:val="multilevel"/>
    <w:tmpl w:val="132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54023"/>
    <w:multiLevelType w:val="multilevel"/>
    <w:tmpl w:val="7890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07DC6"/>
    <w:multiLevelType w:val="multilevel"/>
    <w:tmpl w:val="B256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B50FD"/>
    <w:multiLevelType w:val="multilevel"/>
    <w:tmpl w:val="5B8A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12085">
    <w:abstractNumId w:val="8"/>
  </w:num>
  <w:num w:numId="2" w16cid:durableId="1039936810">
    <w:abstractNumId w:val="6"/>
  </w:num>
  <w:num w:numId="3" w16cid:durableId="277374351">
    <w:abstractNumId w:val="5"/>
  </w:num>
  <w:num w:numId="4" w16cid:durableId="497961535">
    <w:abstractNumId w:val="4"/>
  </w:num>
  <w:num w:numId="5" w16cid:durableId="728920436">
    <w:abstractNumId w:val="7"/>
  </w:num>
  <w:num w:numId="6" w16cid:durableId="1083911833">
    <w:abstractNumId w:val="3"/>
  </w:num>
  <w:num w:numId="7" w16cid:durableId="1085689054">
    <w:abstractNumId w:val="2"/>
  </w:num>
  <w:num w:numId="8" w16cid:durableId="949897516">
    <w:abstractNumId w:val="1"/>
  </w:num>
  <w:num w:numId="9" w16cid:durableId="646205497">
    <w:abstractNumId w:val="0"/>
  </w:num>
  <w:num w:numId="10" w16cid:durableId="1339960118">
    <w:abstractNumId w:val="12"/>
  </w:num>
  <w:num w:numId="11" w16cid:durableId="1986006377">
    <w:abstractNumId w:val="9"/>
  </w:num>
  <w:num w:numId="12" w16cid:durableId="1817795181">
    <w:abstractNumId w:val="10"/>
  </w:num>
  <w:num w:numId="13" w16cid:durableId="9010647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17"/>
    <w:rsid w:val="0006063C"/>
    <w:rsid w:val="0015074B"/>
    <w:rsid w:val="001F38F4"/>
    <w:rsid w:val="0029639D"/>
    <w:rsid w:val="00326F90"/>
    <w:rsid w:val="00596978"/>
    <w:rsid w:val="00721A36"/>
    <w:rsid w:val="00775188"/>
    <w:rsid w:val="00AA1D8D"/>
    <w:rsid w:val="00B47730"/>
    <w:rsid w:val="00CB0664"/>
    <w:rsid w:val="00D0626D"/>
    <w:rsid w:val="00E42F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CBD9F"/>
  <w14:defaultImageDpi w14:val="300"/>
  <w15:docId w15:val="{36D3D2A6-0D78-418E-8C68-FB33DFA9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Golam Rahat</cp:lastModifiedBy>
  <cp:revision>3</cp:revision>
  <dcterms:created xsi:type="dcterms:W3CDTF">2013-12-23T23:15:00Z</dcterms:created>
  <dcterms:modified xsi:type="dcterms:W3CDTF">2026-06-12T13:42:00Z</dcterms:modified>
  <cp:category/>
</cp:coreProperties>
</file>