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B3A6B"/>
          <w:sz w:val="52"/>
          <w:szCs w:val="52"/>
        </w:rPr>
        <w:t xml:space="preserve">AI DISCLOSURE STATEMENT</w:t>
      </w:r>
    </w:p>
    <w:p>
      <w:pPr>
        <w:spacing w:after="80" w:before="0"/>
        <w:jc w:val="center"/>
      </w:pPr>
      <w:r>
        <w:rPr>
          <w:rFonts w:ascii="Arial" w:cs="Arial" w:eastAsia="Arial" w:hAnsi="Arial"/>
          <w:b/>
          <w:bCs/>
          <w:color w:val="C8A951"/>
          <w:sz w:val="28"/>
          <w:szCs w:val="28"/>
        </w:rPr>
        <w:t xml:space="preserve">Target Corporation (TGT) — Market Risk Analysis Project</w:t>
      </w:r>
    </w:p>
    <w:p>
      <w:pPr>
        <w:spacing w:after="60" w:before="60"/>
        <w:jc w:val="center"/>
      </w:pPr>
      <w:r>
        <w:rPr>
          <w:rFonts w:ascii="Arial" w:cs="Arial" w:eastAsia="Arial" w:hAnsi="Arial"/>
          <w:color w:val="1A1A2E"/>
          <w:sz w:val="24"/>
          <w:szCs w:val="24"/>
        </w:rPr>
        <w:t xml:space="preserve">Team Hemisphere</w:t>
      </w:r>
    </w:p>
    <w:p>
      <w:pPr>
        <w:spacing w:after="480" w:before="0"/>
        <w:jc w:val="center"/>
      </w:pPr>
      <w:r>
        <w:rPr>
          <w:rFonts w:ascii="Arial" w:cs="Arial" w:eastAsia="Arial" w:hAnsi="Arial"/>
          <w:color w:val="666666"/>
          <w:sz w:val="20"/>
          <w:szCs w:val="20"/>
        </w:rPr>
        <w:t xml:space="preserve">Date: June 6, 2026  |  Course: FIN 4116 — Management of Financial Institutions</w:t>
      </w:r>
    </w:p>
    <w:p>
      <w:pPr>
        <w:pBdr>
          <w:bottom w:val="single" w:color="C8A951" w:sz="6" w:space="1"/>
        </w:pBdr>
        <w:spacing w:after="160" w:before="160"/>
      </w:pPr>
    </w:p>
    <w:p>
      <w:pPr>
        <w:spacing w:after="80" w:before="80"/>
      </w:pPr>
    </w:p>
    <w:p>
      <w:pPr>
        <w:pStyle w:val="Heading1"/>
        <w:spacing w:after="120" w:before="360"/>
      </w:pPr>
      <w:r>
        <w:rPr>
          <w:rFonts w:ascii="Arial" w:cs="Arial" w:eastAsia="Arial" w:hAnsi="Arial"/>
          <w:b/>
          <w:bCs/>
          <w:color w:val="1B3A6B"/>
          <w:sz w:val="32"/>
          <w:szCs w:val="32"/>
        </w:rPr>
        <w:t xml:space="preserve">1. Project Overview</w:t>
      </w:r>
    </w:p>
    <w:p>
      <w:pPr>
        <w:spacing w:after="80" w:before="60"/>
      </w:pPr>
      <w:r>
        <w:rPr>
          <w:rFonts w:ascii="Arial" w:cs="Arial" w:eastAsia="Arial" w:hAnsi="Arial"/>
          <w:color w:val="1A1A2E"/>
          <w:sz w:val="22"/>
          <w:szCs w:val="22"/>
        </w:rPr>
        <w:t xml:space="preserve">This document constitutes the official AI Disclosure for Team Hemisphere's quantitative market risk analysis of Target Corporation (TGT). It transparently details every instance where Artificial Intelligence tools — specifically Claude (Anthropic) — were used throughout the research, modelling, and documentation pipeline, the prompts that were submitted, the technical errors the AI introduced, and the professional corrections applied by the team.</w:t>
      </w:r>
    </w:p>
    <w:p>
      <w:pPr>
        <w:spacing w:after="80" w:before="60"/>
      </w:pPr>
      <w:r>
        <w:rPr>
          <w:rFonts w:ascii="Arial" w:cs="Arial" w:eastAsia="Arial" w:hAnsi="Arial"/>
          <w:color w:val="1A1A2E"/>
          <w:sz w:val="22"/>
          <w:szCs w:val="22"/>
        </w:rPr>
        <w:t xml:space="preserve">The project involved constructing a complete Python-based Jupyter Notebook pipeline performing the following analytical workflow:</w:t>
      </w:r>
    </w:p>
    <w:p>
      <w:pPr>
        <w:pStyle w:val="ListParagraph"/>
        <w:numPr>
          <w:ilvl w:val="0"/>
          <w:numId w:val="2"/>
        </w:numPr>
        <w:spacing w:after="40" w:before="40"/>
      </w:pPr>
      <w:r>
        <w:rPr>
          <w:rFonts w:ascii="Arial" w:cs="Arial" w:eastAsia="Arial" w:hAnsi="Arial"/>
          <w:color w:val="1A1A2E"/>
          <w:sz w:val="22"/>
          <w:szCs w:val="22"/>
        </w:rPr>
        <w:t xml:space="preserve">Extraction of five years of TGT daily equity price data (2020–2025)</w:t>
      </w:r>
    </w:p>
    <w:p>
      <w:pPr>
        <w:pStyle w:val="ListParagraph"/>
        <w:numPr>
          <w:ilvl w:val="0"/>
          <w:numId w:val="2"/>
        </w:numPr>
        <w:spacing w:after="40" w:before="40"/>
      </w:pPr>
      <w:r>
        <w:rPr>
          <w:rFonts w:ascii="Arial" w:cs="Arial" w:eastAsia="Arial" w:hAnsi="Arial"/>
          <w:color w:val="1A1A2E"/>
          <w:sz w:val="22"/>
          <w:szCs w:val="22"/>
        </w:rPr>
        <w:t xml:space="preserve">Stationarity validation via Augmented Dickey-Fuller (ADF) testing on log return series</w:t>
      </w:r>
    </w:p>
    <w:p>
      <w:pPr>
        <w:pStyle w:val="ListParagraph"/>
        <w:numPr>
          <w:ilvl w:val="0"/>
          <w:numId w:val="2"/>
        </w:numPr>
        <w:spacing w:after="40" w:before="40"/>
      </w:pPr>
      <w:r>
        <w:rPr>
          <w:rFonts w:ascii="Arial" w:cs="Arial" w:eastAsia="Arial" w:hAnsi="Arial"/>
          <w:color w:val="1A1A2E"/>
          <w:sz w:val="22"/>
          <w:szCs w:val="22"/>
        </w:rPr>
        <w:t xml:space="preserve">ARIMA model grid-search selection and 10-day directional return forecasting</w:t>
      </w:r>
    </w:p>
    <w:p>
      <w:pPr>
        <w:pStyle w:val="ListParagraph"/>
        <w:numPr>
          <w:ilvl w:val="0"/>
          <w:numId w:val="2"/>
        </w:numPr>
        <w:spacing w:after="40" w:before="40"/>
      </w:pPr>
      <w:r>
        <w:rPr>
          <w:rFonts w:ascii="Arial" w:cs="Arial" w:eastAsia="Arial" w:hAnsi="Arial"/>
          <w:color w:val="1A1A2E"/>
          <w:sz w:val="22"/>
          <w:szCs w:val="22"/>
        </w:rPr>
        <w:t xml:space="preserve">GARCH(1,1) conditional variance modelling with a Student's t-distribution error specification</w:t>
      </w:r>
    </w:p>
    <w:p>
      <w:pPr>
        <w:pStyle w:val="ListParagraph"/>
        <w:numPr>
          <w:ilvl w:val="0"/>
          <w:numId w:val="2"/>
        </w:numPr>
        <w:spacing w:after="40" w:before="40"/>
      </w:pPr>
      <w:r>
        <w:rPr>
          <w:rFonts w:ascii="Arial" w:cs="Arial" w:eastAsia="Arial" w:hAnsi="Arial"/>
          <w:color w:val="1A1A2E"/>
          <w:sz w:val="22"/>
          <w:szCs w:val="22"/>
        </w:rPr>
        <w:t xml:space="preserve">5-day-ahead forward volatility forecasting and risk threshold interpretation</w:t>
      </w:r>
    </w:p>
    <w:p>
      <w:pPr>
        <w:pStyle w:val="ListParagraph"/>
        <w:numPr>
          <w:ilvl w:val="0"/>
          <w:numId w:val="2"/>
        </w:numPr>
        <w:spacing w:after="40" w:before="40"/>
      </w:pPr>
      <w:r>
        <w:rPr>
          <w:rFonts w:ascii="Arial" w:cs="Arial" w:eastAsia="Arial" w:hAnsi="Arial"/>
          <w:color w:val="1A1A2E"/>
          <w:sz w:val="22"/>
          <w:szCs w:val="22"/>
        </w:rPr>
        <w:t xml:space="preserve">Production of a formal Investment Committee Risk Memo with actionable recommendations</w:t>
      </w:r>
    </w:p>
    <w:p>
      <w:pPr>
        <w:spacing w:after="80" w:before="80"/>
      </w:pPr>
    </w:p>
    <w:p>
      <w:pPr>
        <w:pStyle w:val="Heading1"/>
        <w:spacing w:after="120" w:before="360"/>
      </w:pPr>
      <w:r>
        <w:rPr>
          <w:rFonts w:ascii="Arial" w:cs="Arial" w:eastAsia="Arial" w:hAnsi="Arial"/>
          <w:b/>
          <w:bCs/>
          <w:color w:val="1B3A6B"/>
          <w:sz w:val="32"/>
          <w:szCs w:val="32"/>
        </w:rPr>
        <w:t xml:space="preserve">2. Files and Deliverables Covered by This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58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500"/>
            <w:tcBorders>
              <w:top w:val="single" w:color="1B3A6B" w:sz="1"/>
              <w:left w:val="single" w:color="1B3A6B" w:sz="1"/>
              <w:bottom w:val="single" w:color="1B3A6B" w:sz="1"/>
              <w:right w:val="single" w:color="1B3A6B" w:sz="1"/>
            </w:tcBorders>
            <w:shd w:fill="EAF0FB" w:val="clear"/>
            <w:tcMar>
              <w:top w:type="dxa" w:w="100"/>
              <w:left w:type="dxa" w:w="120"/>
              <w:bottom w:type="dxa" w:w="100"/>
              <w:right w:type="dxa" w:w="120"/>
            </w:tcMar>
          </w:tcPr>
          <w:p>
            <w:r>
              <w:rPr>
                <w:rFonts w:ascii="Arial" w:cs="Arial" w:eastAsia="Arial" w:hAnsi="Arial"/>
                <w:b w:val="false"/>
                <w:bCs w:val="false"/>
                <w:color w:val="1A1A2E"/>
                <w:sz w:val="20"/>
                <w:szCs w:val="20"/>
              </w:rPr>
              <w:t xml:space="preserve">TEAM_HEMISPHERE_TARGET_ANAlYSIS.ipynb</w:t>
            </w:r>
          </w:p>
        </w:tc>
        <w:tc>
          <w:tcPr>
            <w:tcW w:type="dxa" w:w="5860"/>
            <w:tcBorders>
              <w:top w:val="single" w:color="1B3A6B" w:sz="1"/>
              <w:left w:val="single" w:color="1B3A6B" w:sz="1"/>
              <w:bottom w:val="single" w:color="1B3A6B" w:sz="1"/>
              <w:right w:val="single" w:color="1B3A6B" w:sz="1"/>
            </w:tcBorders>
            <w:shd w:fill="EAF0FB" w:val="clear"/>
            <w:tcMar>
              <w:top w:type="dxa" w:w="100"/>
              <w:left w:type="dxa" w:w="120"/>
              <w:bottom w:type="dxa" w:w="100"/>
              <w:right w:type="dxa" w:w="120"/>
            </w:tcMar>
          </w:tcPr>
          <w:p>
            <w:r>
              <w:rPr>
                <w:rFonts w:ascii="Arial" w:cs="Arial" w:eastAsia="Arial" w:hAnsi="Arial"/>
                <w:b w:val="false"/>
                <w:bCs w:val="false"/>
                <w:color w:val="1A1A2E"/>
                <w:sz w:val="20"/>
                <w:szCs w:val="20"/>
              </w:rPr>
              <w:t xml:space="preserve">Primary Jupyter Notebook — complete ARIMA + GARCH pipeline</w:t>
            </w:r>
          </w:p>
        </w:tc>
      </w:tr>
      <w:tr>
        <w:tc>
          <w:tcPr>
            <w:tcW w:type="dxa" w:w="3500"/>
            <w:tcBorders>
              <w:top w:val="single" w:color="1B3A6B" w:sz="1"/>
              <w:left w:val="single" w:color="1B3A6B" w:sz="1"/>
              <w:bottom w:val="single" w:color="1B3A6B" w:sz="1"/>
              <w:right w:val="single" w:color="1B3A6B"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Rahat_MSFT-checkpoint.ipynb</w:t>
            </w:r>
          </w:p>
        </w:tc>
        <w:tc>
          <w:tcPr>
            <w:tcW w:type="dxa" w:w="5860"/>
            <w:tcBorders>
              <w:top w:val="single" w:color="1B3A6B" w:sz="1"/>
              <w:left w:val="single" w:color="1B3A6B" w:sz="1"/>
              <w:bottom w:val="single" w:color="1B3A6B" w:sz="1"/>
              <w:right w:val="single" w:color="1B3A6B"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Checkpoint notebook — intermediate draft including early GARCH Normal-distribution version</w:t>
            </w:r>
          </w:p>
        </w:tc>
      </w:tr>
      <w:tr>
        <w:tc>
          <w:tcPr>
            <w:tcW w:type="dxa" w:w="3500"/>
            <w:tcBorders>
              <w:top w:val="single" w:color="1B3A6B" w:sz="1"/>
              <w:left w:val="single" w:color="1B3A6B" w:sz="1"/>
              <w:bottom w:val="single" w:color="1B3A6B" w:sz="1"/>
              <w:right w:val="single" w:color="1B3A6B" w:sz="1"/>
            </w:tcBorders>
            <w:shd w:fill="EAF0FB" w:val="clear"/>
            <w:tcMar>
              <w:top w:type="dxa" w:w="100"/>
              <w:left w:type="dxa" w:w="120"/>
              <w:bottom w:type="dxa" w:w="100"/>
              <w:right w:type="dxa" w:w="120"/>
            </w:tcMar>
          </w:tcPr>
          <w:p>
            <w:r>
              <w:rPr>
                <w:rFonts w:ascii="Arial" w:cs="Arial" w:eastAsia="Arial" w:hAnsi="Arial"/>
                <w:b w:val="false"/>
                <w:bCs w:val="false"/>
                <w:color w:val="1A1A2E"/>
                <w:sz w:val="20"/>
                <w:szCs w:val="20"/>
              </w:rPr>
              <w:t xml:space="preserve">Target_Analysis_AI_Appendix.xlsx</w:t>
            </w:r>
          </w:p>
        </w:tc>
        <w:tc>
          <w:tcPr>
            <w:tcW w:type="dxa" w:w="5860"/>
            <w:tcBorders>
              <w:top w:val="single" w:color="1B3A6B" w:sz="1"/>
              <w:left w:val="single" w:color="1B3A6B" w:sz="1"/>
              <w:bottom w:val="single" w:color="1B3A6B" w:sz="1"/>
              <w:right w:val="single" w:color="1B3A6B" w:sz="1"/>
            </w:tcBorders>
            <w:shd w:fill="EAF0FB" w:val="clear"/>
            <w:tcMar>
              <w:top w:type="dxa" w:w="100"/>
              <w:left w:type="dxa" w:w="120"/>
              <w:bottom w:type="dxa" w:w="100"/>
              <w:right w:type="dxa" w:w="120"/>
            </w:tcMar>
          </w:tcPr>
          <w:p>
            <w:r>
              <w:rPr>
                <w:rFonts w:ascii="Arial" w:cs="Arial" w:eastAsia="Arial" w:hAnsi="Arial"/>
                <w:b w:val="false"/>
                <w:bCs w:val="false"/>
                <w:color w:val="1A1A2E"/>
                <w:sz w:val="20"/>
                <w:szCs w:val="20"/>
              </w:rPr>
              <w:t xml:space="preserve">Structured AI disclosure appendix logging all prompts, errors, and corrections in tabular form</w:t>
            </w:r>
          </w:p>
        </w:tc>
      </w:tr>
      <w:tr>
        <w:tc>
          <w:tcPr>
            <w:tcW w:type="dxa" w:w="3500"/>
            <w:tcBorders>
              <w:top w:val="single" w:color="1B3A6B" w:sz="1"/>
              <w:left w:val="single" w:color="1B3A6B" w:sz="1"/>
              <w:bottom w:val="single" w:color="1B3A6B" w:sz="1"/>
              <w:right w:val="single" w:color="1B3A6B"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Target_Analysis_Final_Report.docx</w:t>
            </w:r>
          </w:p>
        </w:tc>
        <w:tc>
          <w:tcPr>
            <w:tcW w:type="dxa" w:w="5860"/>
            <w:tcBorders>
              <w:top w:val="single" w:color="1B3A6B" w:sz="1"/>
              <w:left w:val="single" w:color="1B3A6B" w:sz="1"/>
              <w:bottom w:val="single" w:color="1B3A6B" w:sz="1"/>
              <w:right w:val="single" w:color="1B3A6B"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Final Investment Committee Risk Memo summarising all model outputs, forecast results, and strategic recommendations</w:t>
            </w:r>
          </w:p>
        </w:tc>
      </w:tr>
    </w:tbl>
    <w:p>
      <w:pPr>
        <w:spacing w:after="80" w:before="80"/>
      </w:pPr>
    </w:p>
    <w:p>
      <w:pPr>
        <w:pBdr>
          <w:bottom w:val="single" w:color="C8A951" w:sz="6" w:space="1"/>
        </w:pBdr>
        <w:spacing w:after="160" w:before="160"/>
      </w:pPr>
    </w:p>
    <w:p>
      <w:pPr>
        <w:pStyle w:val="Heading1"/>
        <w:spacing w:after="120" w:before="360"/>
      </w:pPr>
      <w:r>
        <w:rPr>
          <w:rFonts w:ascii="Arial" w:cs="Arial" w:eastAsia="Arial" w:hAnsi="Arial"/>
          <w:b/>
          <w:bCs/>
          <w:color w:val="1B3A6B"/>
          <w:sz w:val="32"/>
          <w:szCs w:val="32"/>
        </w:rPr>
        <w:t xml:space="preserve">3. Declaration of AI Use</w:t>
      </w:r>
    </w:p>
    <w:p>
      <w:pPr>
        <w:spacing w:after="80" w:before="60"/>
      </w:pPr>
      <w:r>
        <w:rPr>
          <w:rFonts w:ascii="Arial" w:cs="Arial" w:eastAsia="Arial" w:hAnsi="Arial"/>
          <w:color w:val="1A1A2E"/>
          <w:sz w:val="22"/>
          <w:szCs w:val="22"/>
        </w:rPr>
        <w:t xml:space="preserve">AI tools (Claude, Anthropic) were used as a technical coding assistant and first-draft generator throughout this project. The AI was NOT used to interpret results, form investment opinions, or produce the final analytical narrative. All model outputs were verified, debugged, and corrected manually by team members. The final Risk Memo conclusions and recommendations are the independent intellectual work of Team Hemisphere.</w:t>
      </w:r>
    </w:p>
    <w:p>
      <w:pPr>
        <w:spacing w:after="80" w:before="80"/>
      </w:pPr>
    </w:p>
    <w:p>
      <w:pPr>
        <w:pStyle w:val="Heading1"/>
        <w:spacing w:after="120" w:before="360"/>
      </w:pPr>
      <w:r>
        <w:rPr>
          <w:rFonts w:ascii="Arial" w:cs="Arial" w:eastAsia="Arial" w:hAnsi="Arial"/>
          <w:b/>
          <w:bCs/>
          <w:color w:val="1B3A6B"/>
          <w:sz w:val="32"/>
          <w:szCs w:val="32"/>
        </w:rPr>
        <w:t xml:space="preserve">4. Step-by-Step AI Interaction Log</w:t>
      </w:r>
    </w:p>
    <w:p>
      <w:pPr>
        <w:spacing w:after="80" w:before="60"/>
      </w:pPr>
      <w:r>
        <w:rPr>
          <w:rFonts w:ascii="Arial" w:cs="Arial" w:eastAsia="Arial" w:hAnsi="Arial"/>
          <w:color w:val="1A1A2E"/>
          <w:sz w:val="22"/>
          <w:szCs w:val="22"/>
        </w:rPr>
        <w:t xml:space="preserve">The following section documents each AI interaction in sequence, including the exact prompt submitted, the error or hallucination the AI produced, and the professional fix applied by the team.</w:t>
      </w:r>
    </w:p>
    <w:p>
      <w:pPr>
        <w:spacing w:after="80" w:before="80"/>
      </w:pPr>
    </w:p>
    <w:p>
      <w:pPr>
        <w:pStyle w:val="Heading2"/>
        <w:spacing w:after="80" w:before="240"/>
      </w:pPr>
      <w:r>
        <w:rPr>
          <w:rFonts w:ascii="Arial" w:cs="Arial" w:eastAsia="Arial" w:hAnsi="Arial"/>
          <w:b/>
          <w:bCs/>
          <w:color w:val="1B3A6B"/>
          <w:sz w:val="26"/>
          <w:szCs w:val="26"/>
        </w:rPr>
        <w:t xml:space="preserve">Step 1: Data Extraction</w:t>
      </w:r>
    </w:p>
    <w:p>
      <w:pPr>
        <w:spacing w:after="60" w:before="200"/>
      </w:pPr>
      <w:r>
        <w:rPr>
          <w:rFonts w:ascii="Arial" w:cs="Arial" w:eastAsia="Arial" w:hAnsi="Arial"/>
          <w:b/>
          <w:bCs/>
          <w:color w:val="C8A951"/>
          <w:sz w:val="22"/>
          <w:szCs w:val="22"/>
        </w:rPr>
        <w:t xml:space="preserve">Prompt Submitted to AI:</w:t>
      </w:r>
    </w:p>
    <w:p>
      <w:pPr>
        <w:pBdr>
          <w:left w:val="single" w:color="1B3A6B" w:sz="12" w:space="4"/>
        </w:pBdr>
        <w:shd w:fill="EAF0FB" w:val="clear"/>
        <w:spacing w:after="80" w:before="60"/>
        <w:ind w:left="360"/>
      </w:pPr>
      <w:r>
        <w:rPr>
          <w:rFonts w:ascii="Courier New" w:cs="Courier New" w:eastAsia="Courier New" w:hAnsi="Courier New"/>
          <w:i/>
          <w:iCs/>
          <w:color w:val="1A1A2E"/>
          <w:sz w:val="20"/>
          <w:szCs w:val="20"/>
        </w:rPr>
        <w:t xml:space="preserve">Role: You are an expert quantitative financial data engineer. Task: Write Python code for a Jupyter Notebook cell to extract 5 years of daily stock data for Target (TGT). Instructions: Use the yfinance library. Download "adjusted close" prices from 2020-01-01 to 2025-01-01. Drop any missing values (NaN). Store in a Pandas DataFrame called df and print the first 5 rows.</w:t>
      </w:r>
    </w:p>
    <w:p>
      <w:pPr>
        <w:spacing w:after="60" w:before="200"/>
      </w:pPr>
      <w:r>
        <w:rPr>
          <w:rFonts w:ascii="Arial" w:cs="Arial" w:eastAsia="Arial" w:hAnsi="Arial"/>
          <w:b/>
          <w:bCs/>
          <w:color w:val="C8A951"/>
          <w:sz w:val="22"/>
          <w:szCs w:val="22"/>
        </w:rPr>
        <w:t xml:space="preserve">AI Error / Hallucination Identified:</w:t>
      </w:r>
    </w:p>
    <w:p>
      <w:pPr>
        <w:pBdr>
          <w:left w:val="single" w:color="CC0000" w:sz="12" w:space="4"/>
        </w:pBdr>
        <w:shd w:fill="FFF3F3" w:val="clear"/>
        <w:spacing w:after="80" w:before="60"/>
        <w:ind w:left="360"/>
      </w:pPr>
      <w:r>
        <w:rPr>
          <w:rFonts w:ascii="Arial" w:cs="Arial" w:eastAsia="Arial" w:hAnsi="Arial"/>
          <w:color w:val="880000"/>
          <w:sz w:val="21"/>
          <w:szCs w:val="21"/>
        </w:rPr>
        <w:t xml:space="preserve">Multi-Index Column Crash — AI assumed a single-tier DataFrame layout, failing to anticipate that yfinance returns multi-level column names, triggering downstream KeyErrors.</w:t>
      </w:r>
    </w:p>
    <w:p>
      <w:pPr>
        <w:spacing w:after="60" w:before="200"/>
      </w:pPr>
      <w:r>
        <w:rPr>
          <w:rFonts w:ascii="Arial" w:cs="Arial" w:eastAsia="Arial" w:hAnsi="Arial"/>
          <w:b/>
          <w:bCs/>
          <w:color w:val="C8A951"/>
          <w:sz w:val="22"/>
          <w:szCs w:val="22"/>
        </w:rPr>
        <w:t xml:space="preserve">Professional Fix Applied by Team:</w:t>
      </w:r>
    </w:p>
    <w:p>
      <w:pPr>
        <w:pBdr>
          <w:left w:val="single" w:color="2E7D32" w:sz="12" w:space="4"/>
        </w:pBdr>
        <w:shd w:fill="F0FFF4" w:val="clear"/>
        <w:spacing w:after="80" w:before="60"/>
        <w:ind w:left="360"/>
      </w:pPr>
      <w:r>
        <w:rPr>
          <w:rFonts w:ascii="Arial" w:cs="Arial" w:eastAsia="Arial" w:hAnsi="Arial"/>
          <w:color w:val="1B5E20"/>
          <w:sz w:val="21"/>
          <w:szCs w:val="21"/>
        </w:rPr>
        <w:t xml:space="preserve">Flattened the Multi-Index by parsing specific levels out of the column array and assigning an explicit string name 'Adjusted_Close' to stabilize all downstream tasks.</w:t>
      </w:r>
    </w:p>
    <w:p>
      <w:pPr>
        <w:spacing w:after="80" w:before="80"/>
      </w:pPr>
    </w:p>
    <w:p>
      <w:pPr>
        <w:pBdr>
          <w:bottom w:val="single" w:color="C8A951" w:sz="6" w:space="1"/>
        </w:pBdr>
        <w:spacing w:after="160" w:before="160"/>
      </w:pPr>
    </w:p>
    <w:p>
      <w:pPr>
        <w:pStyle w:val="Heading2"/>
        <w:spacing w:after="80" w:before="240"/>
      </w:pPr>
      <w:r>
        <w:rPr>
          <w:rFonts w:ascii="Arial" w:cs="Arial" w:eastAsia="Arial" w:hAnsi="Arial"/>
          <w:b/>
          <w:bCs/>
          <w:color w:val="1B3A6B"/>
          <w:sz w:val="26"/>
          <w:szCs w:val="26"/>
        </w:rPr>
        <w:t xml:space="preserve">Step 2: Stationarity Testing (ADF)</w:t>
      </w:r>
    </w:p>
    <w:p>
      <w:pPr>
        <w:spacing w:after="60" w:before="200"/>
      </w:pPr>
      <w:r>
        <w:rPr>
          <w:rFonts w:ascii="Arial" w:cs="Arial" w:eastAsia="Arial" w:hAnsi="Arial"/>
          <w:b/>
          <w:bCs/>
          <w:color w:val="C8A951"/>
          <w:sz w:val="22"/>
          <w:szCs w:val="22"/>
        </w:rPr>
        <w:t xml:space="preserve">Prompt Submitted to AI:</w:t>
      </w:r>
    </w:p>
    <w:p>
      <w:pPr>
        <w:pBdr>
          <w:left w:val="single" w:color="1B3A6B" w:sz="12" w:space="4"/>
        </w:pBdr>
        <w:shd w:fill="EAF0FB" w:val="clear"/>
        <w:spacing w:after="80" w:before="60"/>
        <w:ind w:left="360"/>
      </w:pPr>
      <w:r>
        <w:rPr>
          <w:rFonts w:ascii="Courier New" w:cs="Courier New" w:eastAsia="Courier New" w:hAnsi="Courier New"/>
          <w:i/>
          <w:iCs/>
          <w:color w:val="1A1A2E"/>
          <w:sz w:val="20"/>
          <w:szCs w:val="20"/>
        </w:rPr>
        <w:t xml:space="preserve">Task: Calculate the daily log returns (new column 'log_return'). Plot raw prices and log returns side-by-side to visually demonstrate stationarity. Perform an Augmented Dickey-Fuller (ADF) test. Output: 1×2 plot plus printed ADF statistic, p-value, and interpretation.</w:t>
      </w:r>
    </w:p>
    <w:p>
      <w:pPr>
        <w:spacing w:after="60" w:before="200"/>
      </w:pPr>
      <w:r>
        <w:rPr>
          <w:rFonts w:ascii="Arial" w:cs="Arial" w:eastAsia="Arial" w:hAnsi="Arial"/>
          <w:b/>
          <w:bCs/>
          <w:color w:val="C8A951"/>
          <w:sz w:val="22"/>
          <w:szCs w:val="22"/>
        </w:rPr>
        <w:t xml:space="preserve">AI Error / Hallucination Identified:</w:t>
      </w:r>
    </w:p>
    <w:p>
      <w:pPr>
        <w:pBdr>
          <w:left w:val="single" w:color="CC0000" w:sz="12" w:space="4"/>
        </w:pBdr>
        <w:shd w:fill="FFF3F3" w:val="clear"/>
        <w:spacing w:after="80" w:before="60"/>
        <w:ind w:left="360"/>
      </w:pPr>
      <w:r>
        <w:rPr>
          <w:rFonts w:ascii="Arial" w:cs="Arial" w:eastAsia="Arial" w:hAnsi="Arial"/>
          <w:color w:val="880000"/>
          <w:sz w:val="21"/>
          <w:szCs w:val="21"/>
        </w:rPr>
        <w:t xml:space="preserve">Zero-Size Array Exception — AI calculated log returns using a lagging shift but forgot to drop the initial NaN index entry before feeding the series into the Dickey-Fuller matrix compiler.</w:t>
      </w:r>
    </w:p>
    <w:p>
      <w:pPr>
        <w:spacing w:after="60" w:before="200"/>
      </w:pPr>
      <w:r>
        <w:rPr>
          <w:rFonts w:ascii="Arial" w:cs="Arial" w:eastAsia="Arial" w:hAnsi="Arial"/>
          <w:b/>
          <w:bCs/>
          <w:color w:val="C8A951"/>
          <w:sz w:val="22"/>
          <w:szCs w:val="22"/>
        </w:rPr>
        <w:t xml:space="preserve">Professional Fix Applied by Team:</w:t>
      </w:r>
    </w:p>
    <w:p>
      <w:pPr>
        <w:pBdr>
          <w:left w:val="single" w:color="2E7D32" w:sz="12" w:space="4"/>
        </w:pBdr>
        <w:shd w:fill="F0FFF4" w:val="clear"/>
        <w:spacing w:after="80" w:before="60"/>
        <w:ind w:left="360"/>
      </w:pPr>
      <w:r>
        <w:rPr>
          <w:rFonts w:ascii="Arial" w:cs="Arial" w:eastAsia="Arial" w:hAnsi="Arial"/>
          <w:color w:val="1B5E20"/>
          <w:sz w:val="21"/>
          <w:szCs w:val="21"/>
        </w:rPr>
        <w:t xml:space="preserve">Inserted a strict .dropna() call on the log_return series before passing inputs into the statsmodels ADF engine.</w:t>
      </w:r>
    </w:p>
    <w:p>
      <w:pPr>
        <w:spacing w:after="80" w:before="80"/>
      </w:pPr>
    </w:p>
    <w:p>
      <w:pPr>
        <w:pBdr>
          <w:bottom w:val="single" w:color="C8A951" w:sz="6" w:space="1"/>
        </w:pBdr>
        <w:spacing w:after="160" w:before="160"/>
      </w:pPr>
    </w:p>
    <w:p>
      <w:pPr>
        <w:pStyle w:val="Heading2"/>
        <w:spacing w:after="80" w:before="240"/>
      </w:pPr>
      <w:r>
        <w:rPr>
          <w:rFonts w:ascii="Arial" w:cs="Arial" w:eastAsia="Arial" w:hAnsi="Arial"/>
          <w:b/>
          <w:bCs/>
          <w:color w:val="1B3A6B"/>
          <w:sz w:val="26"/>
          <w:szCs w:val="26"/>
        </w:rPr>
        <w:t xml:space="preserve">Step 3: ARIMA Model Fitting</w:t>
      </w:r>
    </w:p>
    <w:p>
      <w:pPr>
        <w:spacing w:after="60" w:before="200"/>
      </w:pPr>
      <w:r>
        <w:rPr>
          <w:rFonts w:ascii="Arial" w:cs="Arial" w:eastAsia="Arial" w:hAnsi="Arial"/>
          <w:b/>
          <w:bCs/>
          <w:color w:val="C8A951"/>
          <w:sz w:val="22"/>
          <w:szCs w:val="22"/>
        </w:rPr>
        <w:t xml:space="preserve">Prompt Submitted to AI:</w:t>
      </w:r>
    </w:p>
    <w:p>
      <w:pPr>
        <w:pBdr>
          <w:left w:val="single" w:color="1B3A6B" w:sz="12" w:space="4"/>
        </w:pBdr>
        <w:shd w:fill="EAF0FB" w:val="clear"/>
        <w:spacing w:after="80" w:before="60"/>
        <w:ind w:left="360"/>
      </w:pPr>
      <w:r>
        <w:rPr>
          <w:rFonts w:ascii="Courier New" w:cs="Courier New" w:eastAsia="Courier New" w:hAnsi="Courier New"/>
          <w:i/>
          <w:iCs/>
          <w:color w:val="1A1A2E"/>
          <w:sz w:val="20"/>
          <w:szCs w:val="20"/>
        </w:rPr>
        <w:t xml:space="preserve">Role: Expert financial analytics professional. Task: Fit an ARIMA model to the log return series. Find the best parameters (p, d, q) using AIC. Fit the best model, print its summary, generate a 10-day forecast, and plot it alongside historical data in a different colour.</w:t>
      </w:r>
    </w:p>
    <w:p>
      <w:pPr>
        <w:spacing w:after="60" w:before="200"/>
      </w:pPr>
      <w:r>
        <w:rPr>
          <w:rFonts w:ascii="Arial" w:cs="Arial" w:eastAsia="Arial" w:hAnsi="Arial"/>
          <w:b/>
          <w:bCs/>
          <w:color w:val="C8A951"/>
          <w:sz w:val="22"/>
          <w:szCs w:val="22"/>
        </w:rPr>
        <w:t xml:space="preserve">AI Error / Hallucination Identified:</w:t>
      </w:r>
    </w:p>
    <w:p>
      <w:pPr>
        <w:pBdr>
          <w:left w:val="single" w:color="CC0000" w:sz="12" w:space="4"/>
        </w:pBdr>
        <w:shd w:fill="FFF3F3" w:val="clear"/>
        <w:spacing w:after="80" w:before="60"/>
        <w:ind w:left="360"/>
      </w:pPr>
      <w:r>
        <w:rPr>
          <w:rFonts w:ascii="Arial" w:cs="Arial" w:eastAsia="Arial" w:hAnsi="Arial"/>
          <w:color w:val="880000"/>
          <w:sz w:val="21"/>
          <w:szCs w:val="21"/>
        </w:rPr>
        <w:t xml:space="preserve">Library Dependency Hallucination — AI attempted to import pmdarima.auto_arima, which was not available in the environment kernel, causing immediate module execution failure.</w:t>
      </w:r>
    </w:p>
    <w:p>
      <w:pPr>
        <w:spacing w:after="60" w:before="200"/>
      </w:pPr>
      <w:r>
        <w:rPr>
          <w:rFonts w:ascii="Arial" w:cs="Arial" w:eastAsia="Arial" w:hAnsi="Arial"/>
          <w:b/>
          <w:bCs/>
          <w:color w:val="C8A951"/>
          <w:sz w:val="22"/>
          <w:szCs w:val="22"/>
        </w:rPr>
        <w:t xml:space="preserve">Professional Fix Applied by Team:</w:t>
      </w:r>
    </w:p>
    <w:p>
      <w:pPr>
        <w:pBdr>
          <w:left w:val="single" w:color="2E7D32" w:sz="12" w:space="4"/>
        </w:pBdr>
        <w:shd w:fill="F0FFF4" w:val="clear"/>
        <w:spacing w:after="80" w:before="60"/>
        <w:ind w:left="360"/>
      </w:pPr>
      <w:r>
        <w:rPr>
          <w:rFonts w:ascii="Arial" w:cs="Arial" w:eastAsia="Arial" w:hAnsi="Arial"/>
          <w:color w:val="1B5E20"/>
          <w:sz w:val="21"/>
          <w:szCs w:val="21"/>
        </w:rPr>
        <w:t xml:space="preserve">Re-engineered the script using a native Python itertools.product nested loop to manually sweep 72 parameter combinations via statsmodels ARIMA, eliminating external dependency.</w:t>
      </w:r>
    </w:p>
    <w:p>
      <w:pPr>
        <w:spacing w:after="80" w:before="80"/>
      </w:pPr>
    </w:p>
    <w:p>
      <w:pPr>
        <w:pBdr>
          <w:bottom w:val="single" w:color="C8A951" w:sz="6" w:space="1"/>
        </w:pBdr>
        <w:spacing w:after="160" w:before="160"/>
      </w:pPr>
    </w:p>
    <w:p>
      <w:pPr>
        <w:pStyle w:val="Heading2"/>
        <w:spacing w:after="80" w:before="240"/>
      </w:pPr>
      <w:r>
        <w:rPr>
          <w:rFonts w:ascii="Arial" w:cs="Arial" w:eastAsia="Arial" w:hAnsi="Arial"/>
          <w:b/>
          <w:bCs/>
          <w:color w:val="1B3A6B"/>
          <w:sz w:val="26"/>
          <w:szCs w:val="26"/>
        </w:rPr>
        <w:t xml:space="preserve">Step 4: GARCH(1,1) Setup</w:t>
      </w:r>
    </w:p>
    <w:p>
      <w:pPr>
        <w:spacing w:after="60" w:before="200"/>
      </w:pPr>
      <w:r>
        <w:rPr>
          <w:rFonts w:ascii="Arial" w:cs="Arial" w:eastAsia="Arial" w:hAnsi="Arial"/>
          <w:b/>
          <w:bCs/>
          <w:color w:val="C8A951"/>
          <w:sz w:val="22"/>
          <w:szCs w:val="22"/>
        </w:rPr>
        <w:t xml:space="preserve">Prompt Submitted to AI:</w:t>
      </w:r>
    </w:p>
    <w:p>
      <w:pPr>
        <w:pBdr>
          <w:left w:val="single" w:color="1B3A6B" w:sz="12" w:space="4"/>
        </w:pBdr>
        <w:shd w:fill="EAF0FB" w:val="clear"/>
        <w:spacing w:after="80" w:before="60"/>
        <w:ind w:left="360"/>
      </w:pPr>
      <w:r>
        <w:rPr>
          <w:rFonts w:ascii="Courier New" w:cs="Courier New" w:eastAsia="Courier New" w:hAnsi="Courier New"/>
          <w:i/>
          <w:iCs/>
          <w:color w:val="1A1A2E"/>
          <w:sz w:val="20"/>
          <w:szCs w:val="20"/>
        </w:rPr>
        <w:t xml:space="preserve">Task: Fit a GARCH(1,1) model to the log return series. Generate a 5-day variance forecast (scaled to 252-day trading year) and plot the conditional volatility alongside the forecast. Output: clean, reproducible Python code with line-by-line annotations.</w:t>
      </w:r>
    </w:p>
    <w:p>
      <w:pPr>
        <w:spacing w:after="60" w:before="200"/>
      </w:pPr>
      <w:r>
        <w:rPr>
          <w:rFonts w:ascii="Arial" w:cs="Arial" w:eastAsia="Arial" w:hAnsi="Arial"/>
          <w:b/>
          <w:bCs/>
          <w:color w:val="C8A951"/>
          <w:sz w:val="22"/>
          <w:szCs w:val="22"/>
        </w:rPr>
        <w:t xml:space="preserve">AI Error / Hallucination Identified:</w:t>
      </w:r>
    </w:p>
    <w:p>
      <w:pPr>
        <w:pBdr>
          <w:left w:val="single" w:color="CC0000" w:sz="12" w:space="4"/>
        </w:pBdr>
        <w:shd w:fill="FFF3F3" w:val="clear"/>
        <w:spacing w:after="80" w:before="60"/>
        <w:ind w:left="360"/>
      </w:pPr>
      <w:r>
        <w:rPr>
          <w:rFonts w:ascii="Arial" w:cs="Arial" w:eastAsia="Arial" w:hAnsi="Arial"/>
          <w:color w:val="880000"/>
          <w:sz w:val="21"/>
          <w:szCs w:val="21"/>
        </w:rPr>
        <w:t xml:space="preserve">Numerical Underflow / Optimizer Stall — AI fed raw decimal returns (e.g. 0.0001) into the MLE solver. The arch_model algorithm hit zero-gradient walls, causing convergence failure.</w:t>
      </w:r>
    </w:p>
    <w:p>
      <w:pPr>
        <w:spacing w:after="60" w:before="200"/>
      </w:pPr>
      <w:r>
        <w:rPr>
          <w:rFonts w:ascii="Arial" w:cs="Arial" w:eastAsia="Arial" w:hAnsi="Arial"/>
          <w:b/>
          <w:bCs/>
          <w:color w:val="C8A951"/>
          <w:sz w:val="22"/>
          <w:szCs w:val="22"/>
        </w:rPr>
        <w:t xml:space="preserve">Professional Fix Applied by Team:</w:t>
      </w:r>
    </w:p>
    <w:p>
      <w:pPr>
        <w:pBdr>
          <w:left w:val="single" w:color="2E7D32" w:sz="12" w:space="4"/>
        </w:pBdr>
        <w:shd w:fill="F0FFF4" w:val="clear"/>
        <w:spacing w:after="80" w:before="60"/>
        <w:ind w:left="360"/>
      </w:pPr>
      <w:r>
        <w:rPr>
          <w:rFonts w:ascii="Arial" w:cs="Arial" w:eastAsia="Arial" w:hAnsi="Arial"/>
          <w:color w:val="1B5E20"/>
          <w:sz w:val="21"/>
          <w:szCs w:val="21"/>
        </w:rPr>
        <w:t xml:space="preserve">Multiplied the log return series by 100 to convert to percentage units, properly conditioning the optimisation gradients for numerical stability.</w:t>
      </w:r>
    </w:p>
    <w:p>
      <w:pPr>
        <w:spacing w:after="80" w:before="80"/>
      </w:pPr>
    </w:p>
    <w:p>
      <w:pPr>
        <w:pBdr>
          <w:bottom w:val="single" w:color="C8A951" w:sz="6" w:space="1"/>
        </w:pBdr>
        <w:spacing w:after="160" w:before="160"/>
      </w:pPr>
    </w:p>
    <w:p>
      <w:pPr>
        <w:pStyle w:val="Heading2"/>
        <w:spacing w:after="80" w:before="240"/>
      </w:pPr>
      <w:r>
        <w:rPr>
          <w:rFonts w:ascii="Arial" w:cs="Arial" w:eastAsia="Arial" w:hAnsi="Arial"/>
          <w:b/>
          <w:bCs/>
          <w:color w:val="1B3A6B"/>
          <w:sz w:val="26"/>
          <w:szCs w:val="26"/>
        </w:rPr>
        <w:t xml:space="preserve">Step 5: Model Logic Correction</w:t>
      </w:r>
    </w:p>
    <w:p>
      <w:pPr>
        <w:spacing w:after="60" w:before="200"/>
      </w:pPr>
      <w:r>
        <w:rPr>
          <w:rFonts w:ascii="Arial" w:cs="Arial" w:eastAsia="Arial" w:hAnsi="Arial"/>
          <w:b/>
          <w:bCs/>
          <w:color w:val="C8A951"/>
          <w:sz w:val="22"/>
          <w:szCs w:val="22"/>
        </w:rPr>
        <w:t xml:space="preserve">Prompt Submitted to AI:</w:t>
      </w:r>
    </w:p>
    <w:p>
      <w:pPr>
        <w:pBdr>
          <w:left w:val="single" w:color="1B3A6B" w:sz="12" w:space="4"/>
        </w:pBdr>
        <w:shd w:fill="EAF0FB" w:val="clear"/>
        <w:spacing w:after="80" w:before="60"/>
        <w:ind w:left="360"/>
      </w:pPr>
      <w:r>
        <w:rPr>
          <w:rFonts w:ascii="Courier New" w:cs="Courier New" w:eastAsia="Courier New" w:hAnsi="Courier New"/>
          <w:i/>
          <w:iCs/>
          <w:color w:val="1A1A2E"/>
          <w:sz w:val="20"/>
          <w:szCs w:val="20"/>
        </w:rPr>
        <w:t xml:space="preserve">Recheck the final script for logic errors and correct any issues identified.</w:t>
      </w:r>
    </w:p>
    <w:p>
      <w:pPr>
        <w:spacing w:after="60" w:before="200"/>
      </w:pPr>
      <w:r>
        <w:rPr>
          <w:rFonts w:ascii="Arial" w:cs="Arial" w:eastAsia="Arial" w:hAnsi="Arial"/>
          <w:b/>
          <w:bCs/>
          <w:color w:val="C8A951"/>
          <w:sz w:val="22"/>
          <w:szCs w:val="22"/>
        </w:rPr>
        <w:t xml:space="preserve">AI Error / Hallucination Identified:</w:t>
      </w:r>
    </w:p>
    <w:p>
      <w:pPr>
        <w:pBdr>
          <w:left w:val="single" w:color="CC0000" w:sz="12" w:space="4"/>
        </w:pBdr>
        <w:shd w:fill="FFF3F3" w:val="clear"/>
        <w:spacing w:after="80" w:before="60"/>
        <w:ind w:left="360"/>
      </w:pPr>
      <w:r>
        <w:rPr>
          <w:rFonts w:ascii="Arial" w:cs="Arial" w:eastAsia="Arial" w:hAnsi="Arial"/>
          <w:color w:val="880000"/>
          <w:sz w:val="21"/>
          <w:szCs w:val="21"/>
        </w:rPr>
        <w:t xml:space="preserve">Gaussian Distribution Tail Misrepresentation — AI defaulted to Normal error distribution (dist='Normal'), which mathematically failed to capture Target's extreme empirical excess kurtosis of 36.51.</w:t>
      </w:r>
    </w:p>
    <w:p>
      <w:pPr>
        <w:spacing w:after="60" w:before="200"/>
      </w:pPr>
      <w:r>
        <w:rPr>
          <w:rFonts w:ascii="Arial" w:cs="Arial" w:eastAsia="Arial" w:hAnsi="Arial"/>
          <w:b/>
          <w:bCs/>
          <w:color w:val="C8A951"/>
          <w:sz w:val="22"/>
          <w:szCs w:val="22"/>
        </w:rPr>
        <w:t xml:space="preserve">Professional Fix Applied by Team:</w:t>
      </w:r>
    </w:p>
    <w:p>
      <w:pPr>
        <w:pBdr>
          <w:left w:val="single" w:color="2E7D32" w:sz="12" w:space="4"/>
        </w:pBdr>
        <w:shd w:fill="F0FFF4" w:val="clear"/>
        <w:spacing w:after="80" w:before="60"/>
        <w:ind w:left="360"/>
      </w:pPr>
      <w:r>
        <w:rPr>
          <w:rFonts w:ascii="Arial" w:cs="Arial" w:eastAsia="Arial" w:hAnsi="Arial"/>
          <w:color w:val="1B5E20"/>
          <w:sz w:val="21"/>
          <w:szCs w:val="21"/>
        </w:rPr>
        <w:t xml:space="preserve">Switched to a standardised Student's t-distribution (dist='t'), introducing the degrees-of-freedom parameter ν to properly absorb tail risk from structural persistence variables.</w:t>
      </w:r>
    </w:p>
    <w:p>
      <w:pPr>
        <w:spacing w:after="80" w:before="80"/>
      </w:pPr>
    </w:p>
    <w:p>
      <w:pPr>
        <w:pBdr>
          <w:bottom w:val="single" w:color="C8A951" w:sz="6" w:space="1"/>
        </w:pBdr>
        <w:spacing w:after="160" w:before="160"/>
      </w:pPr>
    </w:p>
    <w:p>
      <w:pPr>
        <w:pStyle w:val="Heading2"/>
        <w:spacing w:after="80" w:before="240"/>
      </w:pPr>
      <w:r>
        <w:rPr>
          <w:rFonts w:ascii="Arial" w:cs="Arial" w:eastAsia="Arial" w:hAnsi="Arial"/>
          <w:b/>
          <w:bCs/>
          <w:color w:val="1B3A6B"/>
          <w:sz w:val="26"/>
          <w:szCs w:val="26"/>
        </w:rPr>
        <w:t xml:space="preserve">Step 6: Visualisation</w:t>
      </w:r>
    </w:p>
    <w:p>
      <w:pPr>
        <w:spacing w:after="60" w:before="200"/>
      </w:pPr>
      <w:r>
        <w:rPr>
          <w:rFonts w:ascii="Arial" w:cs="Arial" w:eastAsia="Arial" w:hAnsi="Arial"/>
          <w:b/>
          <w:bCs/>
          <w:color w:val="C8A951"/>
          <w:sz w:val="22"/>
          <w:szCs w:val="22"/>
        </w:rPr>
        <w:t xml:space="preserve">Prompt Submitted to AI:</w:t>
      </w:r>
    </w:p>
    <w:p>
      <w:pPr>
        <w:pBdr>
          <w:left w:val="single" w:color="1B3A6B" w:sz="12" w:space="4"/>
        </w:pBdr>
        <w:shd w:fill="EAF0FB" w:val="clear"/>
        <w:spacing w:after="80" w:before="60"/>
        <w:ind w:left="360"/>
      </w:pPr>
      <w:r>
        <w:rPr>
          <w:rFonts w:ascii="Courier New" w:cs="Courier New" w:eastAsia="Courier New" w:hAnsi="Courier New"/>
          <w:i/>
          <w:iCs/>
          <w:color w:val="1A1A2E"/>
          <w:sz w:val="20"/>
          <w:szCs w:val="20"/>
        </w:rPr>
        <w:t xml:space="preserve">Plot the 10-day ARIMA forecast and the 30-day GARCH volatility forecast as clear, professional visuals.</w:t>
      </w:r>
    </w:p>
    <w:p>
      <w:pPr>
        <w:spacing w:after="60" w:before="200"/>
      </w:pPr>
      <w:r>
        <w:rPr>
          <w:rFonts w:ascii="Arial" w:cs="Arial" w:eastAsia="Arial" w:hAnsi="Arial"/>
          <w:b/>
          <w:bCs/>
          <w:color w:val="C8A951"/>
          <w:sz w:val="22"/>
          <w:szCs w:val="22"/>
        </w:rPr>
        <w:t xml:space="preserve">AI Error / Hallucination Identified:</w:t>
      </w:r>
    </w:p>
    <w:p>
      <w:pPr>
        <w:pBdr>
          <w:left w:val="single" w:color="CC0000" w:sz="12" w:space="4"/>
        </w:pBdr>
        <w:shd w:fill="FFF3F3" w:val="clear"/>
        <w:spacing w:after="80" w:before="60"/>
        <w:ind w:left="360"/>
      </w:pPr>
      <w:r>
        <w:rPr>
          <w:rFonts w:ascii="Arial" w:cs="Arial" w:eastAsia="Arial" w:hAnsi="Arial"/>
          <w:color w:val="880000"/>
          <w:sz w:val="21"/>
          <w:szCs w:val="21"/>
        </w:rPr>
        <w:t xml:space="preserve">Scale and Horizon Asymmetry — AI attempted to map a 10-day directional return output and an unrelated 30-day volatility index onto a single compressed axis, obscuring the variance expansion.</w:t>
      </w:r>
    </w:p>
    <w:p>
      <w:pPr>
        <w:spacing w:after="60" w:before="200"/>
      </w:pPr>
      <w:r>
        <w:rPr>
          <w:rFonts w:ascii="Arial" w:cs="Arial" w:eastAsia="Arial" w:hAnsi="Arial"/>
          <w:b/>
          <w:bCs/>
          <w:color w:val="C8A951"/>
          <w:sz w:val="22"/>
          <w:szCs w:val="22"/>
        </w:rPr>
        <w:t xml:space="preserve">Professional Fix Applied by Team:</w:t>
      </w:r>
    </w:p>
    <w:p>
      <w:pPr>
        <w:pBdr>
          <w:left w:val="single" w:color="2E7D32" w:sz="12" w:space="4"/>
        </w:pBdr>
        <w:shd w:fill="F0FFF4" w:val="clear"/>
        <w:spacing w:after="80" w:before="60"/>
        <w:ind w:left="360"/>
      </w:pPr>
      <w:r>
        <w:rPr>
          <w:rFonts w:ascii="Arial" w:cs="Arial" w:eastAsia="Arial" w:hAnsi="Arial"/>
          <w:color w:val="1B5E20"/>
          <w:sz w:val="21"/>
          <w:szCs w:val="21"/>
        </w:rPr>
        <w:t xml:space="preserve">Separated visuals into distinct code blocks: a dual-axis zoom panel for ARIMA tracking, and a trailing 252-day conditional volatility graph bridged to a 5-day out-of-sample forward horizon line.</w:t>
      </w:r>
    </w:p>
    <w:p>
      <w:pPr>
        <w:spacing w:after="80" w:before="80"/>
      </w:pPr>
    </w:p>
    <w:p>
      <w:pPr>
        <w:pStyle w:val="Heading1"/>
        <w:spacing w:after="120" w:before="360"/>
      </w:pPr>
      <w:r>
        <w:rPr>
          <w:rFonts w:ascii="Arial" w:cs="Arial" w:eastAsia="Arial" w:hAnsi="Arial"/>
          <w:b/>
          <w:bCs/>
          <w:color w:val="1B3A6B"/>
          <w:sz w:val="32"/>
          <w:szCs w:val="32"/>
        </w:rPr>
        <w:t xml:space="preserve">5. Summary of AI Errors and Corrections</w:t>
      </w:r>
    </w:p>
    <w:p>
      <w:pPr>
        <w:spacing w:after="80" w:before="60"/>
      </w:pPr>
      <w:r>
        <w:rPr>
          <w:rFonts w:ascii="Arial" w:cs="Arial" w:eastAsia="Arial" w:hAnsi="Arial"/>
          <w:color w:val="1A1A2E"/>
          <w:sz w:val="22"/>
          <w:szCs w:val="22"/>
        </w:rPr>
        <w:t xml:space="preserve">The table below provides a consolidated view of all AI errors encountered and the corrections made: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180"/>
        <w:gridCol w:w="3180"/>
      </w:tblGrid>
      <w:tr>
        <w:tc>
          <w:tcPr>
            <w:tcW w:type="dxa" w:w="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Error Type</w:t>
            </w:r>
          </w:p>
        </w:tc>
        <w:tc>
          <w:tcPr>
            <w:tcW w:type="dxa" w:w="318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AI Failure</w:t>
            </w:r>
          </w:p>
        </w:tc>
        <w:tc>
          <w:tcPr>
            <w:tcW w:type="dxa" w:w="318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Team Correction</w:t>
            </w:r>
          </w:p>
        </w:tc>
      </w:tr>
      <w:tr>
        <w:tc>
          <w:tcPr>
            <w:tcW w:type="dxa" w:w="800"/>
            <w:tcBorders>
              <w:top w:val="single" w:color="1B3A6B" w:sz="1"/>
              <w:left w:val="single" w:color="1B3A6B" w:sz="1"/>
              <w:bottom w:val="single" w:color="1B3A6B" w:sz="1"/>
              <w:right w:val="single" w:color="1B3A6B" w:sz="1"/>
            </w:tcBorders>
            <w:shd w:fill="EAF0FB" w:val="clear"/>
            <w:tcMar>
              <w:top w:type="dxa" w:w="100"/>
              <w:left w:type="dxa" w:w="120"/>
              <w:bottom w:type="dxa" w:w="100"/>
              <w:right w:type="dxa" w:w="120"/>
            </w:tcMar>
          </w:tcPr>
          <w:p>
            <w:r>
              <w:rPr>
                <w:rFonts w:ascii="Arial" w:cs="Arial" w:eastAsia="Arial" w:hAnsi="Arial"/>
                <w:b/>
                <w:bCs/>
                <w:color w:val="1B3A6B"/>
                <w:sz w:val="20"/>
                <w:szCs w:val="20"/>
              </w:rPr>
              <w:t xml:space="preserve">1</w:t>
            </w:r>
          </w:p>
        </w:tc>
        <w:tc>
          <w:tcPr>
            <w:tcW w:type="dxa" w:w="2200"/>
            <w:tcBorders>
              <w:top w:val="single" w:color="1B3A6B" w:sz="1"/>
              <w:left w:val="single" w:color="1B3A6B" w:sz="1"/>
              <w:bottom w:val="single" w:color="1B3A6B" w:sz="1"/>
              <w:right w:val="single" w:color="1B3A6B" w:sz="1"/>
            </w:tcBorders>
            <w:shd w:fill="EAF0FB" w:val="clear"/>
            <w:tcMar>
              <w:top w:type="dxa" w:w="100"/>
              <w:left w:type="dxa" w:w="120"/>
              <w:bottom w:type="dxa" w:w="100"/>
              <w:right w:type="dxa" w:w="120"/>
            </w:tcMar>
          </w:tcPr>
          <w:p>
            <w:r>
              <w:rPr>
                <w:rFonts w:ascii="Arial" w:cs="Arial" w:eastAsia="Arial" w:hAnsi="Arial"/>
                <w:b w:val="false"/>
                <w:bCs w:val="false"/>
                <w:color w:val="1A1A2E"/>
                <w:sz w:val="20"/>
                <w:szCs w:val="20"/>
              </w:rPr>
              <w:t xml:space="preserve">Multi-Index Crash</w:t>
            </w:r>
          </w:p>
        </w:tc>
        <w:tc>
          <w:tcPr>
            <w:tcW w:type="dxa" w:w="3180"/>
            <w:tcBorders>
              <w:top w:val="single" w:color="1B3A6B" w:sz="1"/>
              <w:left w:val="single" w:color="1B3A6B" w:sz="1"/>
              <w:bottom w:val="single" w:color="1B3A6B" w:sz="1"/>
              <w:right w:val="single" w:color="1B3A6B" w:sz="1"/>
            </w:tcBorders>
            <w:shd w:fill="EAF0FB" w:val="clear"/>
            <w:tcMar>
              <w:top w:type="dxa" w:w="100"/>
              <w:left w:type="dxa" w:w="120"/>
              <w:bottom w:type="dxa" w:w="100"/>
              <w:right w:type="dxa" w:w="120"/>
            </w:tcMar>
          </w:tcPr>
          <w:p>
            <w:r>
              <w:rPr>
                <w:rFonts w:ascii="Arial" w:cs="Arial" w:eastAsia="Arial" w:hAnsi="Arial"/>
                <w:b w:val="false"/>
                <w:bCs w:val="false"/>
                <w:color w:val="1A1A2E"/>
                <w:sz w:val="20"/>
                <w:szCs w:val="20"/>
              </w:rPr>
              <w:t xml:space="preserve">Multi-Index Column Crash</w:t>
            </w:r>
          </w:p>
        </w:tc>
        <w:tc>
          <w:tcPr>
            <w:tcW w:type="dxa" w:w="3180"/>
            <w:tcBorders>
              <w:top w:val="single" w:color="1B3A6B" w:sz="1"/>
              <w:left w:val="single" w:color="1B3A6B" w:sz="1"/>
              <w:bottom w:val="single" w:color="1B3A6B" w:sz="1"/>
              <w:right w:val="single" w:color="1B3A6B" w:sz="1"/>
            </w:tcBorders>
            <w:shd w:fill="EAF0FB" w:val="clear"/>
            <w:tcMar>
              <w:top w:type="dxa" w:w="100"/>
              <w:left w:type="dxa" w:w="120"/>
              <w:bottom w:type="dxa" w:w="100"/>
              <w:right w:type="dxa" w:w="120"/>
            </w:tcMar>
          </w:tcPr>
          <w:p>
            <w:r>
              <w:rPr>
                <w:rFonts w:ascii="Arial" w:cs="Arial" w:eastAsia="Arial" w:hAnsi="Arial"/>
                <w:b w:val="false"/>
                <w:bCs w:val="false"/>
                <w:color w:val="1A1A2E"/>
                <w:sz w:val="20"/>
                <w:szCs w:val="20"/>
              </w:rPr>
              <w:t xml:space="preserve">Flattened the Multi-Index by parsing specific levels out of the column array and assigning an explicit string name 'Adju…</w:t>
            </w:r>
          </w:p>
        </w:tc>
      </w:tr>
      <w:tr>
        <w:tc>
          <w:tcPr>
            <w:tcW w:type="dxa" w:w="800"/>
            <w:tcBorders>
              <w:top w:val="single" w:color="1B3A6B" w:sz="1"/>
              <w:left w:val="single" w:color="1B3A6B" w:sz="1"/>
              <w:bottom w:val="single" w:color="1B3A6B" w:sz="1"/>
              <w:right w:val="single" w:color="1B3A6B" w:sz="1"/>
            </w:tcBorders>
            <w:shd w:fill="FFFFFF" w:val="clear"/>
            <w:tcMar>
              <w:top w:type="dxa" w:w="100"/>
              <w:left w:type="dxa" w:w="120"/>
              <w:bottom w:type="dxa" w:w="100"/>
              <w:right w:type="dxa" w:w="120"/>
            </w:tcMar>
          </w:tcPr>
          <w:p>
            <w:r>
              <w:rPr>
                <w:rFonts w:ascii="Arial" w:cs="Arial" w:eastAsia="Arial" w:hAnsi="Arial"/>
                <w:b/>
                <w:bCs/>
                <w:color w:val="1B3A6B"/>
                <w:sz w:val="20"/>
                <w:szCs w:val="20"/>
              </w:rPr>
              <w:t xml:space="preserve">2</w:t>
            </w:r>
          </w:p>
        </w:tc>
        <w:tc>
          <w:tcPr>
            <w:tcW w:type="dxa" w:w="2200"/>
            <w:tcBorders>
              <w:top w:val="single" w:color="1B3A6B" w:sz="1"/>
              <w:left w:val="single" w:color="1B3A6B" w:sz="1"/>
              <w:bottom w:val="single" w:color="1B3A6B" w:sz="1"/>
              <w:right w:val="single" w:color="1B3A6B"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Zero-Size Array</w:t>
            </w:r>
          </w:p>
        </w:tc>
        <w:tc>
          <w:tcPr>
            <w:tcW w:type="dxa" w:w="3180"/>
            <w:tcBorders>
              <w:top w:val="single" w:color="1B3A6B" w:sz="1"/>
              <w:left w:val="single" w:color="1B3A6B" w:sz="1"/>
              <w:bottom w:val="single" w:color="1B3A6B" w:sz="1"/>
              <w:right w:val="single" w:color="1B3A6B"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Zero-Size Array Exception</w:t>
            </w:r>
          </w:p>
        </w:tc>
        <w:tc>
          <w:tcPr>
            <w:tcW w:type="dxa" w:w="3180"/>
            <w:tcBorders>
              <w:top w:val="single" w:color="1B3A6B" w:sz="1"/>
              <w:left w:val="single" w:color="1B3A6B" w:sz="1"/>
              <w:bottom w:val="single" w:color="1B3A6B" w:sz="1"/>
              <w:right w:val="single" w:color="1B3A6B"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Inserted a strict .dropna() call on the log_return series before passing inputs into the statsmodels ADF engine.…</w:t>
            </w:r>
          </w:p>
        </w:tc>
      </w:tr>
      <w:tr>
        <w:tc>
          <w:tcPr>
            <w:tcW w:type="dxa" w:w="800"/>
            <w:tcBorders>
              <w:top w:val="single" w:color="1B3A6B" w:sz="1"/>
              <w:left w:val="single" w:color="1B3A6B" w:sz="1"/>
              <w:bottom w:val="single" w:color="1B3A6B" w:sz="1"/>
              <w:right w:val="single" w:color="1B3A6B" w:sz="1"/>
            </w:tcBorders>
            <w:shd w:fill="EAF0FB" w:val="clear"/>
            <w:tcMar>
              <w:top w:type="dxa" w:w="100"/>
              <w:left w:type="dxa" w:w="120"/>
              <w:bottom w:type="dxa" w:w="100"/>
              <w:right w:type="dxa" w:w="120"/>
            </w:tcMar>
          </w:tcPr>
          <w:p>
            <w:r>
              <w:rPr>
                <w:rFonts w:ascii="Arial" w:cs="Arial" w:eastAsia="Arial" w:hAnsi="Arial"/>
                <w:b/>
                <w:bCs/>
                <w:color w:val="1B3A6B"/>
                <w:sz w:val="20"/>
                <w:szCs w:val="20"/>
              </w:rPr>
              <w:t xml:space="preserve">3</w:t>
            </w:r>
          </w:p>
        </w:tc>
        <w:tc>
          <w:tcPr>
            <w:tcW w:type="dxa" w:w="2200"/>
            <w:tcBorders>
              <w:top w:val="single" w:color="1B3A6B" w:sz="1"/>
              <w:left w:val="single" w:color="1B3A6B" w:sz="1"/>
              <w:bottom w:val="single" w:color="1B3A6B" w:sz="1"/>
              <w:right w:val="single" w:color="1B3A6B" w:sz="1"/>
            </w:tcBorders>
            <w:shd w:fill="EAF0FB" w:val="clear"/>
            <w:tcMar>
              <w:top w:type="dxa" w:w="100"/>
              <w:left w:type="dxa" w:w="120"/>
              <w:bottom w:type="dxa" w:w="100"/>
              <w:right w:type="dxa" w:w="120"/>
            </w:tcMar>
          </w:tcPr>
          <w:p>
            <w:r>
              <w:rPr>
                <w:rFonts w:ascii="Arial" w:cs="Arial" w:eastAsia="Arial" w:hAnsi="Arial"/>
                <w:b w:val="false"/>
                <w:bCs w:val="false"/>
                <w:color w:val="1A1A2E"/>
                <w:sz w:val="20"/>
                <w:szCs w:val="20"/>
              </w:rPr>
              <w:t xml:space="preserve">Library Hallucination</w:t>
            </w:r>
          </w:p>
        </w:tc>
        <w:tc>
          <w:tcPr>
            <w:tcW w:type="dxa" w:w="3180"/>
            <w:tcBorders>
              <w:top w:val="single" w:color="1B3A6B" w:sz="1"/>
              <w:left w:val="single" w:color="1B3A6B" w:sz="1"/>
              <w:bottom w:val="single" w:color="1B3A6B" w:sz="1"/>
              <w:right w:val="single" w:color="1B3A6B" w:sz="1"/>
            </w:tcBorders>
            <w:shd w:fill="EAF0FB" w:val="clear"/>
            <w:tcMar>
              <w:top w:type="dxa" w:w="100"/>
              <w:left w:type="dxa" w:w="120"/>
              <w:bottom w:type="dxa" w:w="100"/>
              <w:right w:type="dxa" w:w="120"/>
            </w:tcMar>
          </w:tcPr>
          <w:p>
            <w:r>
              <w:rPr>
                <w:rFonts w:ascii="Arial" w:cs="Arial" w:eastAsia="Arial" w:hAnsi="Arial"/>
                <w:b w:val="false"/>
                <w:bCs w:val="false"/>
                <w:color w:val="1A1A2E"/>
                <w:sz w:val="20"/>
                <w:szCs w:val="20"/>
              </w:rPr>
              <w:t xml:space="preserve">Library Dependency Hallucination</w:t>
            </w:r>
          </w:p>
        </w:tc>
        <w:tc>
          <w:tcPr>
            <w:tcW w:type="dxa" w:w="3180"/>
            <w:tcBorders>
              <w:top w:val="single" w:color="1B3A6B" w:sz="1"/>
              <w:left w:val="single" w:color="1B3A6B" w:sz="1"/>
              <w:bottom w:val="single" w:color="1B3A6B" w:sz="1"/>
              <w:right w:val="single" w:color="1B3A6B" w:sz="1"/>
            </w:tcBorders>
            <w:shd w:fill="EAF0FB" w:val="clear"/>
            <w:tcMar>
              <w:top w:type="dxa" w:w="100"/>
              <w:left w:type="dxa" w:w="120"/>
              <w:bottom w:type="dxa" w:w="100"/>
              <w:right w:type="dxa" w:w="120"/>
            </w:tcMar>
          </w:tcPr>
          <w:p>
            <w:r>
              <w:rPr>
                <w:rFonts w:ascii="Arial" w:cs="Arial" w:eastAsia="Arial" w:hAnsi="Arial"/>
                <w:b w:val="false"/>
                <w:bCs w:val="false"/>
                <w:color w:val="1A1A2E"/>
                <w:sz w:val="20"/>
                <w:szCs w:val="20"/>
              </w:rPr>
              <w:t xml:space="preserve">Re-engineered the script using a native Python itertools.product nested loop to manually sweep 72 parameter combinations…</w:t>
            </w:r>
          </w:p>
        </w:tc>
      </w:tr>
      <w:tr>
        <w:tc>
          <w:tcPr>
            <w:tcW w:type="dxa" w:w="800"/>
            <w:tcBorders>
              <w:top w:val="single" w:color="1B3A6B" w:sz="1"/>
              <w:left w:val="single" w:color="1B3A6B" w:sz="1"/>
              <w:bottom w:val="single" w:color="1B3A6B" w:sz="1"/>
              <w:right w:val="single" w:color="1B3A6B" w:sz="1"/>
            </w:tcBorders>
            <w:shd w:fill="FFFFFF" w:val="clear"/>
            <w:tcMar>
              <w:top w:type="dxa" w:w="100"/>
              <w:left w:type="dxa" w:w="120"/>
              <w:bottom w:type="dxa" w:w="100"/>
              <w:right w:type="dxa" w:w="120"/>
            </w:tcMar>
          </w:tcPr>
          <w:p>
            <w:r>
              <w:rPr>
                <w:rFonts w:ascii="Arial" w:cs="Arial" w:eastAsia="Arial" w:hAnsi="Arial"/>
                <w:b/>
                <w:bCs/>
                <w:color w:val="1B3A6B"/>
                <w:sz w:val="20"/>
                <w:szCs w:val="20"/>
              </w:rPr>
              <w:t xml:space="preserve">4</w:t>
            </w:r>
          </w:p>
        </w:tc>
        <w:tc>
          <w:tcPr>
            <w:tcW w:type="dxa" w:w="2200"/>
            <w:tcBorders>
              <w:top w:val="single" w:color="1B3A6B" w:sz="1"/>
              <w:left w:val="single" w:color="1B3A6B" w:sz="1"/>
              <w:bottom w:val="single" w:color="1B3A6B" w:sz="1"/>
              <w:right w:val="single" w:color="1B3A6B"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Optimizer Stall</w:t>
            </w:r>
          </w:p>
        </w:tc>
        <w:tc>
          <w:tcPr>
            <w:tcW w:type="dxa" w:w="3180"/>
            <w:tcBorders>
              <w:top w:val="single" w:color="1B3A6B" w:sz="1"/>
              <w:left w:val="single" w:color="1B3A6B" w:sz="1"/>
              <w:bottom w:val="single" w:color="1B3A6B" w:sz="1"/>
              <w:right w:val="single" w:color="1B3A6B"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Numerical Underflow / Optimizer Stall</w:t>
            </w:r>
          </w:p>
        </w:tc>
        <w:tc>
          <w:tcPr>
            <w:tcW w:type="dxa" w:w="3180"/>
            <w:tcBorders>
              <w:top w:val="single" w:color="1B3A6B" w:sz="1"/>
              <w:left w:val="single" w:color="1B3A6B" w:sz="1"/>
              <w:bottom w:val="single" w:color="1B3A6B" w:sz="1"/>
              <w:right w:val="single" w:color="1B3A6B"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Multiplied the log return series by 100 to convert to percentage units, properly conditioning the optimisation gradients…</w:t>
            </w:r>
          </w:p>
        </w:tc>
      </w:tr>
      <w:tr>
        <w:tc>
          <w:tcPr>
            <w:tcW w:type="dxa" w:w="800"/>
            <w:tcBorders>
              <w:top w:val="single" w:color="1B3A6B" w:sz="1"/>
              <w:left w:val="single" w:color="1B3A6B" w:sz="1"/>
              <w:bottom w:val="single" w:color="1B3A6B" w:sz="1"/>
              <w:right w:val="single" w:color="1B3A6B" w:sz="1"/>
            </w:tcBorders>
            <w:shd w:fill="EAF0FB" w:val="clear"/>
            <w:tcMar>
              <w:top w:type="dxa" w:w="100"/>
              <w:left w:type="dxa" w:w="120"/>
              <w:bottom w:type="dxa" w:w="100"/>
              <w:right w:type="dxa" w:w="120"/>
            </w:tcMar>
          </w:tcPr>
          <w:p>
            <w:r>
              <w:rPr>
                <w:rFonts w:ascii="Arial" w:cs="Arial" w:eastAsia="Arial" w:hAnsi="Arial"/>
                <w:b/>
                <w:bCs/>
                <w:color w:val="1B3A6B"/>
                <w:sz w:val="20"/>
                <w:szCs w:val="20"/>
              </w:rPr>
              <w:t xml:space="preserve">5</w:t>
            </w:r>
          </w:p>
        </w:tc>
        <w:tc>
          <w:tcPr>
            <w:tcW w:type="dxa" w:w="2200"/>
            <w:tcBorders>
              <w:top w:val="single" w:color="1B3A6B" w:sz="1"/>
              <w:left w:val="single" w:color="1B3A6B" w:sz="1"/>
              <w:bottom w:val="single" w:color="1B3A6B" w:sz="1"/>
              <w:right w:val="single" w:color="1B3A6B" w:sz="1"/>
            </w:tcBorders>
            <w:shd w:fill="EAF0FB" w:val="clear"/>
            <w:tcMar>
              <w:top w:type="dxa" w:w="100"/>
              <w:left w:type="dxa" w:w="120"/>
              <w:bottom w:type="dxa" w:w="100"/>
              <w:right w:type="dxa" w:w="120"/>
            </w:tcMar>
          </w:tcPr>
          <w:p>
            <w:r>
              <w:rPr>
                <w:rFonts w:ascii="Arial" w:cs="Arial" w:eastAsia="Arial" w:hAnsi="Arial"/>
                <w:b w:val="false"/>
                <w:bCs w:val="false"/>
                <w:color w:val="1A1A2E"/>
                <w:sz w:val="20"/>
                <w:szCs w:val="20"/>
              </w:rPr>
              <w:t xml:space="preserve">Distribution Error</w:t>
            </w:r>
          </w:p>
        </w:tc>
        <w:tc>
          <w:tcPr>
            <w:tcW w:type="dxa" w:w="3180"/>
            <w:tcBorders>
              <w:top w:val="single" w:color="1B3A6B" w:sz="1"/>
              <w:left w:val="single" w:color="1B3A6B" w:sz="1"/>
              <w:bottom w:val="single" w:color="1B3A6B" w:sz="1"/>
              <w:right w:val="single" w:color="1B3A6B" w:sz="1"/>
            </w:tcBorders>
            <w:shd w:fill="EAF0FB" w:val="clear"/>
            <w:tcMar>
              <w:top w:type="dxa" w:w="100"/>
              <w:left w:type="dxa" w:w="120"/>
              <w:bottom w:type="dxa" w:w="100"/>
              <w:right w:type="dxa" w:w="120"/>
            </w:tcMar>
          </w:tcPr>
          <w:p>
            <w:r>
              <w:rPr>
                <w:rFonts w:ascii="Arial" w:cs="Arial" w:eastAsia="Arial" w:hAnsi="Arial"/>
                <w:b w:val="false"/>
                <w:bCs w:val="false"/>
                <w:color w:val="1A1A2E"/>
                <w:sz w:val="20"/>
                <w:szCs w:val="20"/>
              </w:rPr>
              <w:t xml:space="preserve">Gaussian Distribution Tail Misrepresentation</w:t>
            </w:r>
          </w:p>
        </w:tc>
        <w:tc>
          <w:tcPr>
            <w:tcW w:type="dxa" w:w="3180"/>
            <w:tcBorders>
              <w:top w:val="single" w:color="1B3A6B" w:sz="1"/>
              <w:left w:val="single" w:color="1B3A6B" w:sz="1"/>
              <w:bottom w:val="single" w:color="1B3A6B" w:sz="1"/>
              <w:right w:val="single" w:color="1B3A6B" w:sz="1"/>
            </w:tcBorders>
            <w:shd w:fill="EAF0FB" w:val="clear"/>
            <w:tcMar>
              <w:top w:type="dxa" w:w="100"/>
              <w:left w:type="dxa" w:w="120"/>
              <w:bottom w:type="dxa" w:w="100"/>
              <w:right w:type="dxa" w:w="120"/>
            </w:tcMar>
          </w:tcPr>
          <w:p>
            <w:r>
              <w:rPr>
                <w:rFonts w:ascii="Arial" w:cs="Arial" w:eastAsia="Arial" w:hAnsi="Arial"/>
                <w:b w:val="false"/>
                <w:bCs w:val="false"/>
                <w:color w:val="1A1A2E"/>
                <w:sz w:val="20"/>
                <w:szCs w:val="20"/>
              </w:rPr>
              <w:t xml:space="preserve">Switched to a standardised Student's t-distribution (dist='t'), introducing the degrees-of-freedom parameter ν to proper…</w:t>
            </w:r>
          </w:p>
        </w:tc>
      </w:tr>
      <w:tr>
        <w:tc>
          <w:tcPr>
            <w:tcW w:type="dxa" w:w="800"/>
            <w:tcBorders>
              <w:top w:val="single" w:color="1B3A6B" w:sz="1"/>
              <w:left w:val="single" w:color="1B3A6B" w:sz="1"/>
              <w:bottom w:val="single" w:color="1B3A6B" w:sz="1"/>
              <w:right w:val="single" w:color="1B3A6B" w:sz="1"/>
            </w:tcBorders>
            <w:shd w:fill="FFFFFF" w:val="clear"/>
            <w:tcMar>
              <w:top w:type="dxa" w:w="100"/>
              <w:left w:type="dxa" w:w="120"/>
              <w:bottom w:type="dxa" w:w="100"/>
              <w:right w:type="dxa" w:w="120"/>
            </w:tcMar>
          </w:tcPr>
          <w:p>
            <w:r>
              <w:rPr>
                <w:rFonts w:ascii="Arial" w:cs="Arial" w:eastAsia="Arial" w:hAnsi="Arial"/>
                <w:b/>
                <w:bCs/>
                <w:color w:val="1B3A6B"/>
                <w:sz w:val="20"/>
                <w:szCs w:val="20"/>
              </w:rPr>
              <w:t xml:space="preserve">6</w:t>
            </w:r>
          </w:p>
        </w:tc>
        <w:tc>
          <w:tcPr>
            <w:tcW w:type="dxa" w:w="2200"/>
            <w:tcBorders>
              <w:top w:val="single" w:color="1B3A6B" w:sz="1"/>
              <w:left w:val="single" w:color="1B3A6B" w:sz="1"/>
              <w:bottom w:val="single" w:color="1B3A6B" w:sz="1"/>
              <w:right w:val="single" w:color="1B3A6B"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Scale Asymmetry</w:t>
            </w:r>
          </w:p>
        </w:tc>
        <w:tc>
          <w:tcPr>
            <w:tcW w:type="dxa" w:w="3180"/>
            <w:tcBorders>
              <w:top w:val="single" w:color="1B3A6B" w:sz="1"/>
              <w:left w:val="single" w:color="1B3A6B" w:sz="1"/>
              <w:bottom w:val="single" w:color="1B3A6B" w:sz="1"/>
              <w:right w:val="single" w:color="1B3A6B"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Scale and Horizon Asymmetry</w:t>
            </w:r>
          </w:p>
        </w:tc>
        <w:tc>
          <w:tcPr>
            <w:tcW w:type="dxa" w:w="3180"/>
            <w:tcBorders>
              <w:top w:val="single" w:color="1B3A6B" w:sz="1"/>
              <w:left w:val="single" w:color="1B3A6B" w:sz="1"/>
              <w:bottom w:val="single" w:color="1B3A6B" w:sz="1"/>
              <w:right w:val="single" w:color="1B3A6B" w:sz="1"/>
            </w:tcBorders>
            <w:shd w:fill="FFFFFF" w:val="clear"/>
            <w:tcMar>
              <w:top w:type="dxa" w:w="100"/>
              <w:left w:type="dxa" w:w="120"/>
              <w:bottom w:type="dxa" w:w="100"/>
              <w:right w:type="dxa" w:w="120"/>
            </w:tcMar>
          </w:tcPr>
          <w:p>
            <w:r>
              <w:rPr>
                <w:rFonts w:ascii="Arial" w:cs="Arial" w:eastAsia="Arial" w:hAnsi="Arial"/>
                <w:b w:val="false"/>
                <w:bCs w:val="false"/>
                <w:color w:val="1A1A2E"/>
                <w:sz w:val="20"/>
                <w:szCs w:val="20"/>
              </w:rPr>
              <w:t xml:space="preserve">Separated visuals into distinct code blocks: a dual-axis zoom panel for ARIMA tracking, and a trailing 252-day condition…</w:t>
            </w:r>
          </w:p>
        </w:tc>
      </w:tr>
    </w:tbl>
    <w:p>
      <w:pPr>
        <w:spacing w:after="80" w:before="80"/>
      </w:pPr>
    </w:p>
    <w:p>
      <w:pPr>
        <w:pBdr>
          <w:bottom w:val="single" w:color="C8A951" w:sz="6" w:space="1"/>
        </w:pBdr>
        <w:spacing w:after="160" w:before="160"/>
      </w:pPr>
    </w:p>
    <w:p>
      <w:pPr>
        <w:pStyle w:val="Heading1"/>
        <w:spacing w:after="120" w:before="360"/>
      </w:pPr>
      <w:r>
        <w:rPr>
          <w:rFonts w:ascii="Arial" w:cs="Arial" w:eastAsia="Arial" w:hAnsi="Arial"/>
          <w:b/>
          <w:bCs/>
          <w:color w:val="1B3A6B"/>
          <w:sz w:val="32"/>
          <w:szCs w:val="32"/>
        </w:rPr>
        <w:t xml:space="preserve">6. Master Finalisation Prompt</w:t>
      </w:r>
    </w:p>
    <w:p>
      <w:pPr>
        <w:spacing w:after="80" w:before="60"/>
      </w:pPr>
      <w:r>
        <w:rPr>
          <w:rFonts w:ascii="Arial" w:cs="Arial" w:eastAsia="Arial" w:hAnsi="Arial"/>
          <w:color w:val="1A1A2E"/>
          <w:sz w:val="22"/>
          <w:szCs w:val="22"/>
        </w:rPr>
        <w:t xml:space="preserve">The following is the complete, production-ready prompt that can be submitted to any capable AI assistant to regenerate this entire project from scratch, incorporating all corrections documented above. The prompt is self-contained and produces a zero-error notebook on a single 'Run All Cells' execution.</w:t>
      </w:r>
    </w:p>
    <w:p>
      <w:pPr>
        <w:spacing w:after="80" w:before="80"/>
      </w:pPr>
    </w:p>
    <w:p>
      <w:pPr>
        <w:pBdr>
          <w:top w:val="single" w:color="C8A951" w:sz="6" w:space="2"/>
          <w:bottom w:val="single" w:color="C8A951" w:sz="6" w:space="2"/>
          <w:left w:val="single" w:color="1B3A6B" w:sz="18" w:space="4"/>
          <w:right w:val="single" w:color="C8A951" w:sz="6" w:space="2"/>
        </w:pBdr>
        <w:shd w:fill="FDF6E3" w:val="clear"/>
        <w:spacing w:after="100" w:before="100"/>
        <w:ind w:left="360" w:right="360"/>
      </w:pPr>
      <w:r>
        <w:rPr>
          <w:rFonts w:ascii="Courier New" w:cs="Courier New" w:eastAsia="Courier New" w:hAnsi="Courier New"/>
          <w:color w:val="1A1A2E"/>
          <w:sz w:val="19"/>
          <w:szCs w:val="19"/>
        </w:rPr>
        <w:t xml:space="preserve">You are a senior quantitative financial analyst and Python engineer. I need you to produce a complete, fully executable Jupyter Notebook performing a market-risk audit on Target Corporation (TGT) equity over 2020–2025.
Follow this exact 6-step pipeline:
STEP 1 — DATA EXTRACTION
• Use yfinance to download TGT daily closing prices from 2020-01-01 to 2025-01-01.
• Flatten any Multi-Index columns. Rename the price column to 'Adjusted_Close'. Drop NaNs.
STEP 2 — STATIONARITY ANALYSIS
• Compute daily log returns: log_return = ln(P_t / P_{t-1}).
• Drop the leading NaN row before any calculation.
• Plot raw prices and log returns side-by-side (1×2 subplot).
• Run an Augmented Dickey-Fuller (ADF) test. Print the ADF statistic, p-value, and a plain-English interpretation.
STEP 3 — ARIMA MODEL SELECTION &amp; FORECASTING
• Do NOT use pmdarima. Use statsmodels only.
• Run an itertools.product grid search over p ∈ [0,5], d ∈ [0,1], q ∈ [0,5] (72 combinations) selecting the model with the lowest AIC.
• Fit the best ARIMA model. Print its summary.
• Generate a 10-day forecast. Plot full history (blue) plus forecast (red) plus a zoom panel showing the last 60 days and 95% confidence band.
STEP 4 — GARCH(1,1) VARIANCE FORECASTING
• Install/import the arch library.
• Scale log returns by 100 (percentage units) to ensure MLE numerical stability.
• Fit GARCH(1,1) with dist='t' (Student-t) — NOT Normal — to correctly handle TGT's fat-tailed returns (excess kurtosis ≈ 36.51).
• Print persistence (α+β), long-run daily volatility, and volatility-shock half-life.
• Generate a 5-day-ahead variance forecast. Print a table showing Daily Variance (%²), Daily Vol (%), and Annualised Vol (%) for T+1 through T+5. Print cumulative 5-day volatility.
• Plot the last 252 days of conditional volatility (blue) bridged to the 5-day forecast (red dashed), with a horizontal grey dotted line for long-run vol.
STEP 5 — RISK MEMO OUTPUT
• After all model outputs, print a structured risk memo covering: (a) ARIMA result interpretation, (b) GARCH volatility escalation path, (c) three actionable investment recommendations (delta-neutral hedging, long gamma/vega positioning, de-leveraging stop boundaries).
CONSTRAINTS
• Use only: yfinance, pandas, numpy, matplotlib, statsmodels, arch. No other external libraries.
• All code must be in separate, clearly titled Jupyter cells.
• Every cell must contain line-by-line commented annotations.
• All plots must have titles, axis labels, legends, and gridlines.
• The notebook must run end-to-end with a single "Run All Cells" execution with zero errors.</w:t>
      </w:r>
    </w:p>
    <w:p>
      <w:pPr>
        <w:spacing w:after="80" w:before="80"/>
      </w:pPr>
    </w:p>
    <w:p>
      <w:pPr>
        <w:pBdr>
          <w:bottom w:val="single" w:color="C8A951" w:sz="6" w:space="1"/>
        </w:pBdr>
        <w:spacing w:after="160" w:before="160"/>
      </w:pPr>
    </w:p>
    <w:p>
      <w:pPr>
        <w:pStyle w:val="Heading1"/>
        <w:spacing w:after="120" w:before="360"/>
      </w:pPr>
      <w:r>
        <w:rPr>
          <w:rFonts w:ascii="Arial" w:cs="Arial" w:eastAsia="Arial" w:hAnsi="Arial"/>
          <w:b/>
          <w:bCs/>
          <w:color w:val="1B3A6B"/>
          <w:sz w:val="32"/>
          <w:szCs w:val="32"/>
        </w:rPr>
        <w:t xml:space="preserve">7. Integrity Statement</w:t>
      </w:r>
    </w:p>
    <w:p>
      <w:pPr>
        <w:spacing w:after="80" w:before="60"/>
      </w:pPr>
      <w:r>
        <w:rPr>
          <w:rFonts w:ascii="Arial" w:cs="Arial" w:eastAsia="Arial" w:hAnsi="Arial"/>
          <w:color w:val="1A1A2E"/>
          <w:sz w:val="22"/>
          <w:szCs w:val="22"/>
        </w:rPr>
        <w:t xml:space="preserve">We, the members of Team Hemisphere, confirm that:</w:t>
      </w:r>
    </w:p>
    <w:p>
      <w:pPr>
        <w:pStyle w:val="ListParagraph"/>
        <w:numPr>
          <w:ilvl w:val="0"/>
          <w:numId w:val="2"/>
        </w:numPr>
        <w:spacing w:after="40" w:before="40"/>
      </w:pPr>
      <w:r>
        <w:rPr>
          <w:rFonts w:ascii="Arial" w:cs="Arial" w:eastAsia="Arial" w:hAnsi="Arial"/>
          <w:color w:val="1A1A2E"/>
          <w:sz w:val="22"/>
          <w:szCs w:val="22"/>
        </w:rPr>
        <w:t xml:space="preserve">All AI outputs were reviewed, tested, and corrected before inclusion in any deliverable.</w:t>
      </w:r>
    </w:p>
    <w:p>
      <w:pPr>
        <w:pStyle w:val="ListParagraph"/>
        <w:numPr>
          <w:ilvl w:val="0"/>
          <w:numId w:val="2"/>
        </w:numPr>
        <w:spacing w:after="40" w:before="40"/>
      </w:pPr>
      <w:r>
        <w:rPr>
          <w:rFonts w:ascii="Arial" w:cs="Arial" w:eastAsia="Arial" w:hAnsi="Arial"/>
          <w:color w:val="1A1A2E"/>
          <w:sz w:val="22"/>
          <w:szCs w:val="22"/>
        </w:rPr>
        <w:t xml:space="preserve">The analytical interpretations, conclusions, and risk recommendations in the Risk Memo are entirely our own independent work.</w:t>
      </w:r>
    </w:p>
    <w:p>
      <w:pPr>
        <w:pStyle w:val="ListParagraph"/>
        <w:numPr>
          <w:ilvl w:val="0"/>
          <w:numId w:val="2"/>
        </w:numPr>
        <w:spacing w:after="40" w:before="40"/>
      </w:pPr>
      <w:r>
        <w:rPr>
          <w:rFonts w:ascii="Arial" w:cs="Arial" w:eastAsia="Arial" w:hAnsi="Arial"/>
          <w:color w:val="1A1A2E"/>
          <w:sz w:val="22"/>
          <w:szCs w:val="22"/>
        </w:rPr>
        <w:t xml:space="preserve">AI was used solely as a technical coding aid — equivalent to using an IDE auto-complete — and did not substitute for our professional judgment.</w:t>
      </w:r>
    </w:p>
    <w:p>
      <w:pPr>
        <w:pStyle w:val="ListParagraph"/>
        <w:numPr>
          <w:ilvl w:val="0"/>
          <w:numId w:val="2"/>
        </w:numPr>
        <w:spacing w:after="40" w:before="40"/>
      </w:pPr>
      <w:r>
        <w:rPr>
          <w:rFonts w:ascii="Arial" w:cs="Arial" w:eastAsia="Arial" w:hAnsi="Arial"/>
          <w:color w:val="1A1A2E"/>
          <w:sz w:val="22"/>
          <w:szCs w:val="22"/>
        </w:rPr>
        <w:t xml:space="preserve">This disclosure has been prepared honestly and comprehensively to comply with academic integrity requirements.</w:t>
      </w:r>
    </w:p>
    <w:p>
      <w:pPr>
        <w:spacing w:after="80" w:before="80"/>
      </w:pPr>
    </w:p>
    <w:p>
      <w:pPr>
        <w:spacing w:after="80" w:before="60"/>
      </w:pPr>
      <w:r>
        <w:rPr>
          <w:rFonts w:ascii="Arial" w:cs="Arial" w:eastAsia="Arial" w:hAnsi="Arial"/>
          <w:b/>
          <w:bCs/>
          <w:color w:val="1B3A6B"/>
          <w:sz w:val="22"/>
          <w:szCs w:val="22"/>
        </w:rPr>
        <w:t xml:space="preserve">Team Hemisphere  |  FIN 4116 — Management of Financial Institutions  |  June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Team Hemisphere — TGT Risk Analysis | AI Disclosure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2026-06-13T16:49:48.112Z</dcterms:created>
  <dcterms:modified xsi:type="dcterms:W3CDTF">2026-06-13T16:49:48.113Z</dcterms:modified>
</cp:coreProperties>
</file>

<file path=docProps/custom.xml><?xml version="1.0" encoding="utf-8"?>
<Properties xmlns="http://schemas.openxmlformats.org/officeDocument/2006/custom-properties" xmlns:vt="http://schemas.openxmlformats.org/officeDocument/2006/docPropsVTypes"/>
</file>