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mfortaa" w:cs="Comfortaa" w:eastAsia="Comfortaa" w:hAnsi="Comfortaa"/>
          <w:sz w:val="48"/>
          <w:szCs w:val="48"/>
          <w:shd w:fill="ffd966" w:val="clear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shd w:fill="ffd966" w:val="clear"/>
          <w:rtl w:val="0"/>
        </w:rPr>
        <w:t xml:space="preserve">Resumo Ragnarok: Camada de Aplicação!</w:t>
      </w:r>
    </w:p>
    <w:p w:rsidR="00000000" w:rsidDel="00000000" w:rsidP="00000000" w:rsidRDefault="00000000" w:rsidRPr="00000000" w14:paraId="00000001">
      <w:pPr>
        <w:ind w:firstLine="72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camada de aplicação é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uma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camada de abstração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engloba protocolos que realizam a comunicação fim-a-fim entre aplicações. É responsável por prover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serviços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para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aplicações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modo a separar a existência de comunicação em rede entre processos de diferentes computadores. 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Ela, basicamente, cria as especificações de como será a comunicação entre duas aplicações entre hosts.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 protocolo da camada de aplicação define: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Tipo das mensagens trocadas, mensagens de requisição e resposta;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Sintaxe dos tipos de mensagem: os campos nas mensagens e como são delineados 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Semântica dos campos, ou seja, significado da informação nos campos;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Regras para quando e como os processos enviam e respondem às mensagens.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 qual serviço de transporte uma aplicação necessita?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Perda de dados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Algumas aplicações (ex.: áudio) podem tolerar alguma perda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Outras aplicações (ex.: transferência de arquivos, sessão remota) exigem transferência de dados 100% confiável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Temporização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Algumas aplicações (ex.: telefonia IP, jogos interativos) exigem baixos atrasos para serem “efetivos”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Banda passante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Algumas aplicações (ex.: multimídia) exigem uma banda mínima para serem “efetivas”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Outras aplicações (“aplicações elásticas”) melhoram quando a banda disponível aumenta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Comfortaa" w:cs="Comfortaa" w:eastAsia="Comfortaa" w:hAnsi="Comfortaa"/>
          <w:sz w:val="24"/>
          <w:szCs w:val="24"/>
          <w:shd w:fill="b4a7d6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b4a7d6" w:val="clear"/>
          <w:rtl w:val="0"/>
        </w:rPr>
        <w:t xml:space="preserve">Arquiteturas de Aplicação: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b w:val="1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f2cc" w:val="clear"/>
          <w:rtl w:val="0"/>
        </w:rPr>
        <w:t xml:space="preserve">Cliente-Servidor.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Servidor: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Hospedeiro sempre ativo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Endereço IP permanente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Fornece serviços solicitados pelo cliente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Clientes: 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Comunicam-se com o servidor  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Pode ser conectado intermitentemente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Pode ter endereço IP dinâmico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Não se comunicam diretamente uns com os outros</w:t>
      </w:r>
    </w:p>
    <w:p w:rsidR="00000000" w:rsidDel="00000000" w:rsidP="00000000" w:rsidRDefault="00000000" w:rsidRPr="00000000" w14:paraId="00000022">
      <w:pPr>
        <w:spacing w:line="360" w:lineRule="auto"/>
        <w:ind w:left="288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b w:val="1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f2cc" w:val="clear"/>
          <w:rtl w:val="0"/>
        </w:rPr>
        <w:t xml:space="preserve">P2P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Nem sempre no servidor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Sistemas finais arbitrários comunicam-se diretamente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Pares são intermitentemente conectados e trocam endereços IP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Ex.: Gnutella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Altamente escaláveis mas difíceis de gerenciar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b w:val="1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fff2cc" w:val="clear"/>
          <w:rtl w:val="0"/>
        </w:rPr>
        <w:t xml:space="preserve">Híbrida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Napster 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Transferência de arquivo P2P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Busca centralizada de arquivos:  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spacing w:line="360" w:lineRule="auto"/>
        <w:ind w:left="360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Conteúdo de registro dos pares no servidor central  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spacing w:line="360" w:lineRule="auto"/>
        <w:ind w:left="360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Consulta de pares no mesmo servidor central para localizar o conteúdo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360" w:lineRule="auto"/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Instant messaging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Bate-papo entre dois usuários é P2P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line="360" w:lineRule="auto"/>
        <w:ind w:left="288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Detecção/localização de presença é centralizada:  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spacing w:line="360" w:lineRule="auto"/>
        <w:ind w:left="360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Usuário registra seu endereço IP com o servidor central quando fica on-line.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spacing w:line="360" w:lineRule="auto"/>
        <w:ind w:left="360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Usuário contata o servidor central para encontrar endereços IP dos “amigos”.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Comfortaa" w:cs="Comfortaa" w:eastAsia="Comfortaa" w:hAnsi="Comfortaa"/>
          <w:sz w:val="24"/>
          <w:szCs w:val="24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b4a7d6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b4a7d6" w:val="clear"/>
          <w:rtl w:val="0"/>
        </w:rPr>
        <w:t xml:space="preserve">Serviços dos protocolos de transporte da Internet</w:t>
      </w:r>
    </w:p>
    <w:p w:rsidR="00000000" w:rsidDel="00000000" w:rsidP="00000000" w:rsidRDefault="00000000" w:rsidRPr="00000000" w14:paraId="00000037">
      <w:pPr>
        <w:ind w:left="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Serviço TCP: 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Orientado à conexão: conexão requerida entre processos cliente e servidor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Transporte confiável entre os processos de envio e recepção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Controle de fluxo: o transmissor não sobrecarrega o receptor 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Controle de congestionamento: protege a rede do excesso de tráfego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4125"/>
          <w:rtl w:val="0"/>
        </w:rPr>
        <w:t xml:space="preserve">Não oferece: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garantias de temporização e de banda mínima</w:t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Serviço UDP: 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Transferência de dados não confiável entre os processos transmissor e receptor  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4125"/>
          <w:rtl w:val="0"/>
        </w:rPr>
        <w:t xml:space="preserve">Não oferece:</w:t>
      </w:r>
      <w:r w:rsidDel="00000000" w:rsidR="00000000" w:rsidRPr="00000000">
        <w:rPr>
          <w:rFonts w:ascii="Comfortaa" w:cs="Comfortaa" w:eastAsia="Comfortaa" w:hAnsi="Comfortaa"/>
          <w:color w:val="cc4125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estabelecimento de conexão, controle de fluxo e de congestionamento, garantia de temporização e de banda mínima.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8e7cc3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8e7cc3" w:val="clear"/>
          <w:rtl w:val="0"/>
        </w:rPr>
        <w:t xml:space="preserve">HTTP - Hypertext Transfer Protocol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44">
      <w:pPr>
        <w:ind w:left="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Visão geral: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Protocolo da camada de aplicação da Web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Modelo cliente/servidor 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Cliente: navegador que solicita, recebe e apresenta objetos da Web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Servidor: envia objetos em resposta a pedidos 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HTTP 1.0: RFC 1945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HTTP 1.1: RFC 2068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Utiliza TCP: 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Cliente inicia conexão TCP (cria socket) para o servidor na porta 80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Servidor aceita uma conexão TCP do cliente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Mensagens HTTP (mensagens do protocolo de camada de aplicação) são trocadas entre o browser (cliente HTTP) e o servidor Web (servidor HTTP) 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A conexão TCP é fechada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HTTP é “stateless”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default, o servidor não mantém informação sobre os pedidos passados pelos clientes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Protocolos que mantêm informações de “estado” são complexos!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Histórico do passado (estado) deve ser mantido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servidor/cliente quebra, suas visões de “estado” podem ser inconsistentes, devendo ser reconciliadas</w:t>
      </w:r>
    </w:p>
    <w:p w:rsidR="00000000" w:rsidDel="00000000" w:rsidP="00000000" w:rsidRDefault="00000000" w:rsidRPr="00000000" w14:paraId="00000055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56">
      <w:pPr>
        <w:jc w:val="both"/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ab/>
        <w:t xml:space="preserve">Modelagem do Tempo de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Definição de RTT: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tempo para enviar um pequeno pacote que vai do cliente para o servidor e retorna.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Tempo de resposta:  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Um RTT para iniciar a conexão TCP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Um RTT para requisição HTTP e primeiros bytes da resposta HTTP para retorno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Tempo de transmissão de arquivo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Total = 2 RTT+ tempo de transmissão</w:t>
      </w:r>
    </w:p>
    <w:p w:rsidR="00000000" w:rsidDel="00000000" w:rsidP="00000000" w:rsidRDefault="00000000" w:rsidRPr="00000000" w14:paraId="0000005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Conexão HTTP</w:t>
      </w:r>
    </w:p>
    <w:p w:rsidR="00000000" w:rsidDel="00000000" w:rsidP="00000000" w:rsidRDefault="00000000" w:rsidRPr="00000000" w14:paraId="00000060">
      <w:pPr>
        <w:jc w:val="both"/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HTTP não persistente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 máximo, um objeto é enviado sobre uma conexão TCP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HTTP/1.0 utiliza HTTP não persistente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Características do HTTP não persistente:  Requer 2 RTTs por objeto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Sistema Operacional deve manipular e alocar recursos do hospedeiro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cada conexão TCP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(Mas os browsers freqüentemente abrem conexões TCP paralelas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buscar objetos referenciados)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HTTP persistente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Múltiplos objetos podem ser enviados sobre uma conexão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88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TCP entre o cliente e o servidor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HTTP/1.1 utiliza conexões persistentes em seu modo padrão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HTTP persistente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Servidor deixa a conexão aberta após enviar uma resposta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Mensagens HTTP subseqüentes entre o mesmo cliente/servidor são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enviadas pela conexão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Persistente sem pipelining:  O cliente emite novas requisições apenas quando a resposta anterior for recebida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Um RTT para cada objeto referenciado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Persistente com pipelining:  Padrão no HTTP/1.1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 cliente envia requisições assim que encontra um objeto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referenciado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Tão curto quanto um RTT para todos os objetos referenciados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