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8.png" ContentType="image/png"/>
  <Override PartName="/word/media/rId18.png" ContentType="image/png"/>
  <Override PartName="/word/media/rId41.png" ContentType="image/png"/>
  <Override PartName="/word/media/rId11.png" ContentType="image/png"/>
  <Override PartName="/word/media/rId36.png" ContentType="image/png"/>
  <Override PartName="/word/media/rId31.png" ContentType="image/png"/>
  <Override PartName="/word/media/rId64.png" ContentType="image/png"/>
  <Override PartName="/word/media/rId68.png" ContentType="image/png"/>
  <Override PartName="/word/media/rId15.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Analisi Statistica del Mondiale FIFA 2022</w:t>
      </w:r>
    </w:p>
    <w:p>
      <w:pPr>
        <w:pStyle w:val="Subtitle"/>
      </w:pPr>
      <w:r>
        <w:t xml:space="preserve">Modello di regressione lineare multipla per la differenza reti</w:t>
      </w:r>
    </w:p>
    <w:p>
      <w:pPr>
        <w:pStyle w:val="Author"/>
      </w:pPr>
      <w:r>
        <w:t xml:space="preserve">Angelo Esposito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zione-e-obiettivi"/>
    <w:p>
      <w:pPr>
        <w:pStyle w:val="Heading1"/>
      </w:pPr>
      <w:r>
        <w:t xml:space="preserve">1. Introduzione e obiettivi</w:t>
      </w:r>
    </w:p>
    <w:p>
      <w:pPr>
        <w:pStyle w:val="FirstParagraph"/>
      </w:pPr>
      <w:r>
        <w:t xml:space="preserve">Il Campionato del Mondo di calcio del 2022, disputatosi in Qatar tra novembre e dicembre, rappresenta un’edizione peculiare sotto diversi profili: prima edizione invernale nella storia del torneo, svoltasi in un paese con una tradizione calcistica limitata ma dotato di infrastrutture all’avanguardia. Queste caratteristiche, unite alla compressione del calendario (nessuna delle squadre partecipanti aveva disputato partite ufficiali nelle settimane immediatamente precedenti), rendono il torneo un caso di studio di particolare interesse per la modellazione statistica.</w:t>
      </w:r>
    </w:p>
    <w:p>
      <w:pPr>
        <w:pStyle w:val="BodyText"/>
      </w:pPr>
      <w:r>
        <w:t xml:space="preserve">L’obiettivo del presente lavoro è costruire e validare un modello di regressione lineare multipla in grado di spiegare la</w:t>
      </w:r>
      <w:r>
        <w:t xml:space="preserve"> </w:t>
      </w:r>
      <w:r>
        <w:rPr>
          <w:b/>
          <w:bCs/>
        </w:rPr>
        <w:t xml:space="preserve">differenza reti</w:t>
      </w:r>
      <w:r>
        <w:t xml:space="preserve"> </w:t>
      </w:r>
      <w:r>
        <w:t xml:space="preserve">(gol home meno gol away) nelle 64 partite del torneo, utilizzando esclusivamente informazioni disponibili prima del fischio d’inizio. L’analisi adotta un approccio</w:t>
      </w:r>
      <w:r>
        <w:t xml:space="preserve"> </w:t>
      </w:r>
      <w:r>
        <w:rPr>
          <w:b/>
          <w:bCs/>
        </w:rPr>
        <w:t xml:space="preserve">theory-driven</w:t>
      </w:r>
      <w:r>
        <w:t xml:space="preserve">: la selezione delle variabili è guidata da ipotesi sostantive sulla natura del fenomeno, e le procedure di selezione automatica sono utilizzate come controllo di robustezza.</w:t>
      </w:r>
    </w:p>
    <w:p>
      <w:pPr>
        <w:pStyle w:val="BodyText"/>
      </w:pPr>
      <w:r>
        <w:t xml:space="preserve">Il report si conclude con un confronto tra il modello di regressione lineare e una</w:t>
      </w:r>
      <w:r>
        <w:t xml:space="preserve"> </w:t>
      </w:r>
      <w:r>
        <w:rPr>
          <w:b/>
          <w:bCs/>
        </w:rPr>
        <w:t xml:space="preserve">Random Forest</w:t>
      </w:r>
      <w:r>
        <w:t xml:space="preserve">, metodo non parametrico e non lineare, per valutare se la struttura lineare del modello coglie adeguatamente la complessità del fenomeno o se un approccio flessibile porta a guadagni predittivi rilevanti.</w:t>
      </w:r>
    </w:p>
    <w:bookmarkEnd w:id="9"/>
    <w:bookmarkStart w:id="23" w:name="dati-e-variabili"/>
    <w:p>
      <w:pPr>
        <w:pStyle w:val="Heading1"/>
      </w:pPr>
      <w:r>
        <w:t xml:space="preserve">2. Dati e variabili</w:t>
      </w:r>
    </w:p>
    <w:bookmarkStart w:id="10" w:name="descrizione-del-dataset"/>
    <w:p>
      <w:pPr>
        <w:pStyle w:val="Heading2"/>
      </w:pPr>
      <w:r>
        <w:t xml:space="preserve">2.1 Descrizione del dataset</w:t>
      </w:r>
    </w:p>
    <w:p>
      <w:pPr>
        <w:pStyle w:val="FirstParagraph"/>
      </w:pPr>
      <w:r>
        <w:t xml:space="preserve">I dati provengono da più fonti, unite tramite join sui nomi delle squadre e sugli identificativi delle partite:</w:t>
      </w:r>
    </w:p>
    <w:p>
      <w:pPr>
        <w:pStyle w:val="Compact"/>
        <w:numPr>
          <w:ilvl w:val="0"/>
          <w:numId w:val="1001"/>
        </w:numPr>
      </w:pPr>
      <w:r>
        <w:rPr>
          <w:b/>
          <w:bCs/>
        </w:rPr>
        <w:t xml:space="preserve">Dataset delle partite</w:t>
      </w:r>
      <w:r>
        <w:t xml:space="preserve">: 64 partite del torneo con statistiche pre-partita (quote, xG, PPG) e risultati finali.</w:t>
      </w:r>
    </w:p>
    <w:p>
      <w:pPr>
        <w:pStyle w:val="Compact"/>
        <w:numPr>
          <w:ilvl w:val="0"/>
          <w:numId w:val="1001"/>
        </w:numPr>
      </w:pPr>
      <w:r>
        <w:rPr>
          <w:b/>
          <w:bCs/>
        </w:rPr>
        <w:t xml:space="preserve">Ranking FIFA</w:t>
      </w:r>
      <w:r>
        <w:t xml:space="preserve">: classifica e punti FIFA aggiornati al 6 ottobre 2022, pochi giorni prima dell’inizio del torneo.</w:t>
      </w:r>
    </w:p>
    <w:p>
      <w:pPr>
        <w:pStyle w:val="Compact"/>
        <w:numPr>
          <w:ilvl w:val="0"/>
          <w:numId w:val="1001"/>
        </w:numPr>
      </w:pPr>
      <w:r>
        <w:rPr>
          <w:b/>
          <w:bCs/>
        </w:rPr>
        <w:t xml:space="preserve">Edizioni storiche</w:t>
      </w:r>
      <w:r>
        <w:t xml:space="preserve">: risultati finali di tutte le edizioni precedenti, per costruire l’indicatore di successo storico.</w:t>
      </w:r>
    </w:p>
    <w:p>
      <w:pPr>
        <w:pStyle w:val="Compact"/>
        <w:numPr>
          <w:ilvl w:val="0"/>
          <w:numId w:val="1001"/>
        </w:numPr>
      </w:pPr>
      <w:r>
        <w:rPr>
          <w:b/>
          <w:bCs/>
        </w:rPr>
        <w:t xml:space="preserve">Storico delle partite mondiali 1930–2021</w:t>
      </w:r>
      <w:r>
        <w:t xml:space="preserve">: per calcolare gli indicatori testa a testa.</w:t>
      </w:r>
    </w:p>
    <w:p>
      <w:pPr>
        <w:pStyle w:val="Compact"/>
        <w:numPr>
          <w:ilvl w:val="0"/>
          <w:numId w:val="1001"/>
        </w:numPr>
      </w:pPr>
      <w:r>
        <w:rPr>
          <w:b/>
          <w:bCs/>
        </w:rPr>
        <w:t xml:space="preserve">Pacchetto</w:t>
      </w:r>
      <w:r>
        <w:rPr>
          <w:b/>
          <w:bCs/>
        </w:rPr>
        <w:t xml:space="preserve"> </w:t>
      </w:r>
      <w:r>
        <w:rPr>
          <w:rStyle w:val="VerbatimChar"/>
          <w:b/>
          <w:bCs/>
        </w:rPr>
        <w:t xml:space="preserve">worldcup</w:t>
      </w:r>
      <w:r>
        <w:rPr>
          <w:b/>
          <w:bCs/>
        </w:rPr>
        <w:t xml:space="preserve"> </w:t>
      </w:r>
      <w:r>
        <w:rPr>
          <w:b/>
          <w:bCs/>
        </w:rPr>
        <w:t xml:space="preserve">(Fjelstul)</w:t>
      </w:r>
      <w:r>
        <w:t xml:space="preserve">: dati ufficiali FIFA su presenze e anagrafiche dei giocatori, usati per calcolare l’età media degli effettivi in campo.</w:t>
      </w:r>
    </w:p>
    <w:p>
      <w:pPr>
        <w:pStyle w:val="FirstParagraph"/>
      </w:pPr>
      <w:r>
        <w:t xml:space="preserve">L’unità di analisi è la</w:t>
      </w:r>
      <w:r>
        <w:t xml:space="preserve"> </w:t>
      </w:r>
      <w:r>
        <w:rPr>
          <w:b/>
          <w:bCs/>
        </w:rPr>
        <w:t xml:space="preserve">singola partita</w:t>
      </w:r>
      <w:r>
        <w:t xml:space="preserve"> </w:t>
      </w:r>
      <w:r>
        <w:t xml:space="preserve">(n = 64). Tutte le variabili esplicative sono calcolate su informazioni pre-partita, garantendo l’assenza di data leakage.</w:t>
      </w:r>
    </w:p>
    <w:bookmarkEnd w:id="10"/>
    <w:bookmarkStart w:id="14" w:name="variabile-dipendente"/>
    <w:p>
      <w:pPr>
        <w:pStyle w:val="Heading2"/>
      </w:pPr>
      <w:r>
        <w:t xml:space="preserve">2.2 Variabile dipendente</w:t>
      </w:r>
    </w:p>
    <w:p>
      <w:pPr>
        <w:pStyle w:val="FirstParagraph"/>
      </w:pPr>
      <w:r>
        <w:t xml:space="preserve">La variabile risposta è la</w:t>
      </w:r>
      <w:r>
        <w:t xml:space="preserve"> </w:t>
      </w:r>
      <w:r>
        <w:rPr>
          <w:b/>
          <w:bCs/>
        </w:rPr>
        <w:t xml:space="preserve">differenza reti</w:t>
      </w:r>
      <w:r>
        <w:t xml:space="preserve">:</w:t>
      </w:r>
    </w:p>
    <w:p>
      <w:pPr>
        <w:pStyle w:val="BodyText"/>
      </w:pPr>
      <m:oMathPara>
        <m:oMathParaPr>
          <m:jc m:val="center"/>
        </m:oMathParaPr>
        <m:oMath>
          <m:r>
            <m:rPr>
              <m:nor/>
              <m:sty m:val="p"/>
            </m:rPr>
            <m:t>goal_difference</m:t>
          </m:r>
          <m:r>
            <m:rPr>
              <m:sty m:val="p"/>
            </m:rPr>
            <m:t>=</m:t>
          </m:r>
          <m:r>
            <m:rPr>
              <m:nor/>
              <m:sty m:val="p"/>
            </m:rPr>
            <m:t>gol home</m:t>
          </m:r>
          <m:r>
            <m:rPr>
              <m:sty m:val="p"/>
            </m:rPr>
            <m:t>−</m:t>
          </m:r>
          <m:r>
            <m:rPr>
              <m:nor/>
              <m:sty m:val="p"/>
            </m:rPr>
            <m:t>gol away</m:t>
          </m:r>
        </m:oMath>
      </m:oMathPara>
    </w:p>
    <w:p>
      <w:pPr>
        <w:pStyle w:val="FirstParagraph"/>
      </w:pPr>
      <w:r>
        <w:t xml:space="preserve">Valori positivi indicano una vittoria della squadra designata come</w:t>
      </w:r>
      <w:r>
        <w:t xml:space="preserve"> </w:t>
      </w:r>
      <w:r>
        <w:t xml:space="preserve">“home”</w:t>
      </w:r>
      <w:r>
        <w:t xml:space="preserve"> </w:t>
      </w:r>
      <w:r>
        <w:t xml:space="preserve">(prima nominata nella convenzione del dataset, essendo i Mondiali su campo neutro), valori negativi una vittoria dell’avversaria, valori nulli un pareggio.</w:t>
      </w:r>
    </w:p>
    <w:p>
      <w:pPr>
        <w:pStyle w:val="CaptionedFigure"/>
      </w:pPr>
      <w:r>
        <w:drawing>
          <wp:inline>
            <wp:extent cx="4620126" cy="3696101"/>
            <wp:effectExtent b="0" l="0" r="0" t="0"/>
            <wp:docPr descr="Distribuzione della variabile dipendente (differenza reti)" title="" id="12" name="Picture"/>
            <a:graphic>
              <a:graphicData uri="http://schemas.openxmlformats.org/drawingml/2006/picture">
                <pic:pic>
                  <pic:nvPicPr>
                    <pic:cNvPr descr="analisi_world.cup.2022_report_files/figure-docx/dist-goal-diff-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Distribuzione della variabile dipendente (differenza reti)</w:t>
      </w:r>
    </w:p>
    <w:p>
      <w:pPr>
        <w:pStyle w:val="BodyText"/>
      </w:pPr>
      <w:r>
        <w:t xml:space="preserve">La distribuzione è approssimativamente centrata sullo zero con lieve asimmetria positiva. La partita con lo scarto maggiore è Spagna–Costa Rica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Risultato</w:t>
            </w:r>
          </w:p>
        </w:tc>
        <w:tc>
          <w:tcPr/>
          <w:p>
            <w:pPr>
              <w:pStyle w:val="Compact"/>
              <w:jc w:val="right"/>
            </w:pPr>
            <w:r>
              <w:t xml:space="preserve">Frequenza</w:t>
            </w:r>
          </w:p>
        </w:tc>
        <w:tc>
          <w:tcPr/>
          <w:p>
            <w:pPr>
              <w:pStyle w:val="Compact"/>
              <w:jc w:val="right"/>
            </w:pPr>
            <w:r>
              <w:t xml:space="preserve">%</w:t>
            </w:r>
          </w:p>
        </w:tc>
      </w:tr>
      <w:tr>
        <w:tc>
          <w:tcPr/>
          <w:p>
            <w:pPr>
              <w:pStyle w:val="Compact"/>
              <w:jc w:val="left"/>
            </w:pPr>
            <w:r>
              <w:t xml:space="preserve">Pareggio</w:t>
            </w:r>
          </w:p>
        </w:tc>
        <w:tc>
          <w:tcPr/>
          <w:p>
            <w:pPr>
              <w:pStyle w:val="Compact"/>
              <w:jc w:val="right"/>
            </w:pPr>
            <w:r>
              <w:t xml:space="preserve">15</w:t>
            </w:r>
          </w:p>
        </w:tc>
        <w:tc>
          <w:tcPr/>
          <w:p>
            <w:pPr>
              <w:pStyle w:val="Compact"/>
              <w:jc w:val="right"/>
            </w:pPr>
            <w:r>
              <w:t xml:space="preserve">23.4</w:t>
            </w:r>
          </w:p>
        </w:tc>
      </w:tr>
      <w:tr>
        <w:tc>
          <w:tcPr/>
          <w:p>
            <w:pPr>
              <w:pStyle w:val="Compact"/>
              <w:jc w:val="left"/>
            </w:pPr>
            <w:r>
              <w:t xml:space="preserve">Vittoria away</w:t>
            </w:r>
          </w:p>
        </w:tc>
        <w:tc>
          <w:tcPr/>
          <w:p>
            <w:pPr>
              <w:pStyle w:val="Compact"/>
              <w:jc w:val="right"/>
            </w:pPr>
            <w:r>
              <w:t xml:space="preserve">20</w:t>
            </w:r>
          </w:p>
        </w:tc>
        <w:tc>
          <w:tcPr/>
          <w:p>
            <w:pPr>
              <w:pStyle w:val="Compact"/>
              <w:jc w:val="right"/>
            </w:pPr>
            <w:r>
              <w:t xml:space="preserve">31.2</w:t>
            </w:r>
          </w:p>
        </w:tc>
      </w:tr>
      <w:tr>
        <w:tc>
          <w:tcPr/>
          <w:p>
            <w:pPr>
              <w:pStyle w:val="Compact"/>
              <w:jc w:val="left"/>
            </w:pPr>
            <w:r>
              <w:t xml:space="preserve">Vittoria home</w:t>
            </w:r>
          </w:p>
        </w:tc>
        <w:tc>
          <w:tcPr/>
          <w:p>
            <w:pPr>
              <w:pStyle w:val="Compact"/>
              <w:jc w:val="right"/>
            </w:pPr>
            <w:r>
              <w:t xml:space="preserve">29</w:t>
            </w:r>
          </w:p>
        </w:tc>
        <w:tc>
          <w:tcPr/>
          <w:p>
            <w:pPr>
              <w:pStyle w:val="Compact"/>
              <w:jc w:val="right"/>
            </w:pPr>
            <w:r>
              <w:t xml:space="preserve">45.3</w:t>
            </w:r>
          </w:p>
        </w:tc>
      </w:tr>
    </w:tbl>
    <w:p>
      <w:pPr>
        <w:pStyle w:val="BodyText"/>
      </w:pPr>
      <w:r>
        <w:t xml:space="preserve">La distribuzione dei risultati delle 64 partite del torneo mostra una netta prevalenza delle vittorie della squadra di casa: 29 partite su 64 si sono concluse con una vittoria home (45.3%), seguite da 20 vittorie away (31.2%) e 15 pareggi (23.4%). L’assenza di un pubblico</w:t>
      </w:r>
      <w:r>
        <w:t xml:space="preserve"> </w:t>
      </w:r>
      <w:r>
        <w:t xml:space="preserve">“di casa”</w:t>
      </w:r>
      <w:r>
        <w:t xml:space="preserve"> </w:t>
      </w:r>
      <w:r>
        <w:t xml:space="preserve">nel senso tradizionale non ha eliminato lo squilibrio tra le due categorie, suggerendo che il vantaggio della squadra nominalmente</w:t>
      </w:r>
      <w:r>
        <w:t xml:space="preserve"> </w:t>
      </w:r>
      <w:r>
        <w:t xml:space="preserve">“home”</w:t>
      </w:r>
      <w:r>
        <w:t xml:space="preserve"> </w:t>
      </w:r>
      <w:r>
        <w:t xml:space="preserve">nel tabellone dipenda più dalla forza relativa delle squadre che dall’effetto campo propriamente detto dal momento in cui la fase ad eliminazione diretta prevede abbinamenti tra nazionali piazzatosi meglio durante la fase a gironi che compaiono</w:t>
      </w:r>
      <w:r>
        <w:t xml:space="preserve"> </w:t>
      </w:r>
      <w:r>
        <w:t xml:space="preserve">“in casa”</w:t>
      </w:r>
      <w:r>
        <w:t xml:space="preserve"> </w:t>
      </w:r>
      <w:r>
        <w:t xml:space="preserve">nel tabellone contro quelle piazzatosi peggio che vanno indirizzate</w:t>
      </w:r>
      <w:r>
        <w:t xml:space="preserve"> </w:t>
      </w:r>
      <w:r>
        <w:t xml:space="preserve">“in trasferta”</w:t>
      </w:r>
      <w:r>
        <w:t xml:space="preserve">.</w:t>
      </w:r>
    </w:p>
    <w:bookmarkEnd w:id="14"/>
    <w:bookmarkStart w:id="22" w:name="le-variabili-esplicative-panoramica"/>
    <w:p>
      <w:pPr>
        <w:pStyle w:val="Heading2"/>
      </w:pPr>
      <w:r>
        <w:t xml:space="preserve">2.3 Le variabili esplicative: panoramica</w:t>
      </w:r>
    </w:p>
    <w:p>
      <w:pPr>
        <w:pStyle w:val="FirstParagraph"/>
      </w:pPr>
      <w:r>
        <w:t xml:space="preserve">Nella tabella seguente si riassumono le statistiche descrittive delle variabili quantitative incluse nel pool di candidati.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variabile</w:t>
            </w:r>
          </w:p>
        </w:tc>
        <w:tc>
          <w:tcPr/>
          <w:p>
            <w:pPr>
              <w:pStyle w:val="Compact"/>
              <w:jc w:val="right"/>
            </w:pPr>
            <w:r>
              <w:t xml:space="preserve">media</w:t>
            </w:r>
          </w:p>
        </w:tc>
        <w:tc>
          <w:tcPr/>
          <w:p>
            <w:pPr>
              <w:pStyle w:val="Compact"/>
              <w:jc w:val="right"/>
            </w:pPr>
            <w:r>
              <w:t xml:space="preserve">mediana</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goal_difference</w:t>
            </w:r>
          </w:p>
        </w:tc>
        <w:tc>
          <w:tcPr/>
          <w:p>
            <w:pPr>
              <w:pStyle w:val="Compact"/>
              <w:jc w:val="right"/>
            </w:pPr>
            <w:r>
              <w:t xml:space="preserve">0.469</w:t>
            </w:r>
          </w:p>
        </w:tc>
        <w:tc>
          <w:tcPr/>
          <w:p>
            <w:pPr>
              <w:pStyle w:val="Compact"/>
              <w:jc w:val="right"/>
            </w:pPr>
            <w:r>
              <w:t xml:space="preserve">0.000</w:t>
            </w:r>
          </w:p>
        </w:tc>
        <w:tc>
          <w:tcPr/>
          <w:p>
            <w:pPr>
              <w:pStyle w:val="Compact"/>
              <w:jc w:val="right"/>
            </w:pPr>
            <w:r>
              <w:t xml:space="preserve">1.860</w:t>
            </w:r>
          </w:p>
        </w:tc>
        <w:tc>
          <w:tcPr/>
          <w:p>
            <w:pPr>
              <w:pStyle w:val="Compact"/>
              <w:jc w:val="right"/>
            </w:pPr>
            <w:r>
              <w:t xml:space="preserve">-3.000</w:t>
            </w:r>
          </w:p>
        </w:tc>
        <w:tc>
          <w:tcPr/>
          <w:p>
            <w:pPr>
              <w:pStyle w:val="Compact"/>
              <w:jc w:val="right"/>
            </w:pPr>
            <w:r>
              <w:t xml:space="preserve">7.000</w:t>
            </w:r>
          </w:p>
        </w:tc>
      </w:tr>
      <w:tr>
        <w:tc>
          <w:tcPr/>
          <w:p>
            <w:pPr>
              <w:pStyle w:val="Compact"/>
              <w:jc w:val="left"/>
            </w:pPr>
            <w:r>
              <w:t xml:space="preserve">h2h_goal_diff</w:t>
            </w:r>
          </w:p>
        </w:tc>
        <w:tc>
          <w:tcPr/>
          <w:p>
            <w:pPr>
              <w:pStyle w:val="Compact"/>
              <w:jc w:val="right"/>
            </w:pPr>
            <w:r>
              <w:t xml:space="preserve">0.016</w:t>
            </w:r>
          </w:p>
        </w:tc>
        <w:tc>
          <w:tcPr/>
          <w:p>
            <w:pPr>
              <w:pStyle w:val="Compact"/>
              <w:jc w:val="right"/>
            </w:pPr>
            <w:r>
              <w:t xml:space="preserve">0.000</w:t>
            </w:r>
          </w:p>
        </w:tc>
        <w:tc>
          <w:tcPr/>
          <w:p>
            <w:pPr>
              <w:pStyle w:val="Compact"/>
              <w:jc w:val="right"/>
            </w:pPr>
            <w:r>
              <w:t xml:space="preserve">1.496</w:t>
            </w:r>
          </w:p>
        </w:tc>
        <w:tc>
          <w:tcPr/>
          <w:p>
            <w:pPr>
              <w:pStyle w:val="Compact"/>
              <w:jc w:val="right"/>
            </w:pPr>
            <w:r>
              <w:t xml:space="preserve">-6.000</w:t>
            </w:r>
          </w:p>
        </w:tc>
        <w:tc>
          <w:tcPr/>
          <w:p>
            <w:pPr>
              <w:pStyle w:val="Compact"/>
              <w:jc w:val="right"/>
            </w:pPr>
            <w:r>
              <w:t xml:space="preserve">6.000</w:t>
            </w:r>
          </w:p>
        </w:tc>
      </w:tr>
      <w:tr>
        <w:tc>
          <w:tcPr/>
          <w:p>
            <w:pPr>
              <w:pStyle w:val="Compact"/>
              <w:jc w:val="left"/>
            </w:pPr>
            <w:r>
              <w:t xml:space="preserve">h2h_win_rate</w:t>
            </w:r>
          </w:p>
        </w:tc>
        <w:tc>
          <w:tcPr/>
          <w:p>
            <w:pPr>
              <w:pStyle w:val="Compact"/>
              <w:jc w:val="right"/>
            </w:pPr>
            <w:r>
              <w:t xml:space="preserve">0.190</w:t>
            </w:r>
          </w:p>
        </w:tc>
        <w:tc>
          <w:tcPr/>
          <w:p>
            <w:pPr>
              <w:pStyle w:val="Compact"/>
              <w:jc w:val="right"/>
            </w:pPr>
            <w:r>
              <w:t xml:space="preserve">0.000</w:t>
            </w:r>
          </w:p>
        </w:tc>
        <w:tc>
          <w:tcPr/>
          <w:p>
            <w:pPr>
              <w:pStyle w:val="Compact"/>
              <w:jc w:val="right"/>
            </w:pPr>
            <w:r>
              <w:t xml:space="preserve">0.361</w:t>
            </w:r>
          </w:p>
        </w:tc>
        <w:tc>
          <w:tcPr/>
          <w:p>
            <w:pPr>
              <w:pStyle w:val="Compact"/>
              <w:jc w:val="right"/>
            </w:pPr>
            <w:r>
              <w:t xml:space="preserve">0.000</w:t>
            </w:r>
          </w:p>
        </w:tc>
        <w:tc>
          <w:tcPr/>
          <w:p>
            <w:pPr>
              <w:pStyle w:val="Compact"/>
              <w:jc w:val="right"/>
            </w:pPr>
            <w:r>
              <w:t xml:space="preserve">1.000</w:t>
            </w:r>
          </w:p>
        </w:tc>
      </w:tr>
      <w:tr>
        <w:tc>
          <w:tcPr/>
          <w:p>
            <w:pPr>
              <w:pStyle w:val="Compact"/>
              <w:jc w:val="left"/>
            </w:pPr>
            <w:r>
              <w:t xml:space="preserve">historical_success_difference</w:t>
            </w:r>
          </w:p>
        </w:tc>
        <w:tc>
          <w:tcPr/>
          <w:p>
            <w:pPr>
              <w:pStyle w:val="Compact"/>
              <w:jc w:val="right"/>
            </w:pPr>
            <w:r>
              <w:t xml:space="preserve">0.263</w:t>
            </w:r>
          </w:p>
        </w:tc>
        <w:tc>
          <w:tcPr/>
          <w:p>
            <w:pPr>
              <w:pStyle w:val="Compact"/>
              <w:jc w:val="right"/>
            </w:pPr>
            <w:r>
              <w:t xml:space="preserve">0.000</w:t>
            </w:r>
          </w:p>
        </w:tc>
        <w:tc>
          <w:tcPr/>
          <w:p>
            <w:pPr>
              <w:pStyle w:val="Compact"/>
              <w:jc w:val="right"/>
            </w:pPr>
            <w:r>
              <w:t xml:space="preserve">1.278</w:t>
            </w:r>
          </w:p>
        </w:tc>
        <w:tc>
          <w:tcPr/>
          <w:p>
            <w:pPr>
              <w:pStyle w:val="Compact"/>
              <w:jc w:val="right"/>
            </w:pPr>
            <w:r>
              <w:t xml:space="preserve">-2.639</w:t>
            </w:r>
          </w:p>
        </w:tc>
        <w:tc>
          <w:tcPr/>
          <w:p>
            <w:pPr>
              <w:pStyle w:val="Compact"/>
              <w:jc w:val="right"/>
            </w:pPr>
            <w:r>
              <w:t xml:space="preserve">2.639</w:t>
            </w:r>
          </w:p>
        </w:tc>
      </w:tr>
      <w:tr>
        <w:tc>
          <w:tcPr/>
          <w:p>
            <w:pPr>
              <w:pStyle w:val="Compact"/>
              <w:jc w:val="left"/>
            </w:pPr>
            <w:r>
              <w:t xml:space="preserve">implied_probability_difference</w:t>
            </w:r>
          </w:p>
        </w:tc>
        <w:tc>
          <w:tcPr/>
          <w:p>
            <w:pPr>
              <w:pStyle w:val="Compact"/>
              <w:jc w:val="right"/>
            </w:pPr>
            <w:r>
              <w:t xml:space="preserve">0.084</w:t>
            </w:r>
          </w:p>
        </w:tc>
        <w:tc>
          <w:tcPr/>
          <w:p>
            <w:pPr>
              <w:pStyle w:val="Compact"/>
              <w:jc w:val="right"/>
            </w:pPr>
            <w:r>
              <w:t xml:space="preserve">0.076</w:t>
            </w:r>
          </w:p>
        </w:tc>
        <w:tc>
          <w:tcPr/>
          <w:p>
            <w:pPr>
              <w:pStyle w:val="Compact"/>
              <w:jc w:val="right"/>
            </w:pPr>
            <w:r>
              <w:t xml:space="preserve">0.421</w:t>
            </w:r>
          </w:p>
        </w:tc>
        <w:tc>
          <w:tcPr/>
          <w:p>
            <w:pPr>
              <w:pStyle w:val="Compact"/>
              <w:jc w:val="right"/>
            </w:pPr>
            <w:r>
              <w:t xml:space="preserve">-0.699</w:t>
            </w:r>
          </w:p>
        </w:tc>
        <w:tc>
          <w:tcPr/>
          <w:p>
            <w:pPr>
              <w:pStyle w:val="Compact"/>
              <w:jc w:val="right"/>
            </w:pPr>
            <w:r>
              <w:t xml:space="preserve">0.763</w:t>
            </w:r>
          </w:p>
        </w:tc>
      </w:tr>
      <w:tr>
        <w:tc>
          <w:tcPr/>
          <w:p>
            <w:pPr>
              <w:pStyle w:val="Compact"/>
              <w:jc w:val="left"/>
            </w:pPr>
            <w:r>
              <w:t xml:space="preserve">n_previous_meetings</w:t>
            </w:r>
          </w:p>
        </w:tc>
        <w:tc>
          <w:tcPr/>
          <w:p>
            <w:pPr>
              <w:pStyle w:val="Compact"/>
              <w:jc w:val="right"/>
            </w:pPr>
            <w:r>
              <w:t xml:space="preserve">0.812</w:t>
            </w:r>
          </w:p>
        </w:tc>
        <w:tc>
          <w:tcPr/>
          <w:p>
            <w:pPr>
              <w:pStyle w:val="Compact"/>
              <w:jc w:val="right"/>
            </w:pPr>
            <w:r>
              <w:t xml:space="preserve">0.000</w:t>
            </w:r>
          </w:p>
        </w:tc>
        <w:tc>
          <w:tcPr/>
          <w:p>
            <w:pPr>
              <w:pStyle w:val="Compact"/>
              <w:jc w:val="right"/>
            </w:pPr>
            <w:r>
              <w:t xml:space="preserve">1.125</w:t>
            </w:r>
          </w:p>
        </w:tc>
        <w:tc>
          <w:tcPr/>
          <w:p>
            <w:pPr>
              <w:pStyle w:val="Compact"/>
              <w:jc w:val="right"/>
            </w:pPr>
            <w:r>
              <w:t xml:space="preserve">0.000</w:t>
            </w:r>
          </w:p>
        </w:tc>
        <w:tc>
          <w:tcPr/>
          <w:p>
            <w:pPr>
              <w:pStyle w:val="Compact"/>
              <w:jc w:val="right"/>
            </w:pPr>
            <w:r>
              <w:t xml:space="preserve">5.000</w:t>
            </w:r>
          </w:p>
        </w:tc>
      </w:tr>
      <w:tr>
        <w:tc>
          <w:tcPr/>
          <w:p>
            <w:pPr>
              <w:pStyle w:val="Compact"/>
              <w:jc w:val="left"/>
            </w:pPr>
            <w:r>
              <w:t xml:space="preserve">players_age_difference</w:t>
            </w:r>
          </w:p>
        </w:tc>
        <w:tc>
          <w:tcPr/>
          <w:p>
            <w:pPr>
              <w:pStyle w:val="Compact"/>
              <w:jc w:val="right"/>
            </w:pPr>
            <w:r>
              <w:t xml:space="preserve">0.152</w:t>
            </w:r>
          </w:p>
        </w:tc>
        <w:tc>
          <w:tcPr/>
          <w:p>
            <w:pPr>
              <w:pStyle w:val="Compact"/>
              <w:jc w:val="right"/>
            </w:pPr>
            <w:r>
              <w:t xml:space="preserve">0.069</w:t>
            </w:r>
          </w:p>
        </w:tc>
        <w:tc>
          <w:tcPr/>
          <w:p>
            <w:pPr>
              <w:pStyle w:val="Compact"/>
              <w:jc w:val="right"/>
            </w:pPr>
            <w:r>
              <w:t xml:space="preserve">1.436</w:t>
            </w:r>
          </w:p>
        </w:tc>
        <w:tc>
          <w:tcPr/>
          <w:p>
            <w:pPr>
              <w:pStyle w:val="Compact"/>
              <w:jc w:val="right"/>
            </w:pPr>
            <w:r>
              <w:t xml:space="preserve">-2.606</w:t>
            </w:r>
          </w:p>
        </w:tc>
        <w:tc>
          <w:tcPr/>
          <w:p>
            <w:pPr>
              <w:pStyle w:val="Compact"/>
              <w:jc w:val="right"/>
            </w:pPr>
            <w:r>
              <w:t xml:space="preserve">3.924</w:t>
            </w:r>
          </w:p>
        </w:tc>
      </w:tr>
      <w:tr>
        <w:tc>
          <w:tcPr/>
          <w:p>
            <w:pPr>
              <w:pStyle w:val="Compact"/>
              <w:jc w:val="left"/>
            </w:pPr>
            <w:r>
              <w:t xml:space="preserve">pre_match_xg_difference</w:t>
            </w:r>
          </w:p>
        </w:tc>
        <w:tc>
          <w:tcPr/>
          <w:p>
            <w:pPr>
              <w:pStyle w:val="Compact"/>
              <w:jc w:val="right"/>
            </w:pPr>
            <w:r>
              <w:t xml:space="preserve">0.023</w:t>
            </w:r>
          </w:p>
        </w:tc>
        <w:tc>
          <w:tcPr/>
          <w:p>
            <w:pPr>
              <w:pStyle w:val="Compact"/>
              <w:jc w:val="right"/>
            </w:pPr>
            <w:r>
              <w:t xml:space="preserve">0.000</w:t>
            </w:r>
          </w:p>
        </w:tc>
        <w:tc>
          <w:tcPr/>
          <w:p>
            <w:pPr>
              <w:pStyle w:val="Compact"/>
              <w:jc w:val="right"/>
            </w:pPr>
            <w:r>
              <w:t xml:space="preserve">0.577</w:t>
            </w:r>
          </w:p>
        </w:tc>
        <w:tc>
          <w:tcPr/>
          <w:p>
            <w:pPr>
              <w:pStyle w:val="Compact"/>
              <w:jc w:val="right"/>
            </w:pPr>
            <w:r>
              <w:t xml:space="preserve">-1.580</w:t>
            </w:r>
          </w:p>
        </w:tc>
        <w:tc>
          <w:tcPr/>
          <w:p>
            <w:pPr>
              <w:pStyle w:val="Compact"/>
              <w:jc w:val="right"/>
            </w:pPr>
            <w:r>
              <w:t xml:space="preserve">1.380</w:t>
            </w:r>
          </w:p>
        </w:tc>
      </w:tr>
    </w:tbl>
    <w:bookmarkStart w:id="21" w:name="descrizione-delle-variabili"/>
    <w:p>
      <w:pPr>
        <w:pStyle w:val="Heading3"/>
      </w:pPr>
      <w:r>
        <w:t xml:space="preserve">2.3.1 Descrizione delle variabili</w:t>
      </w:r>
    </w:p>
    <w:p>
      <w:pPr>
        <w:pStyle w:val="FirstParagraph"/>
      </w:pPr>
      <w:r>
        <w:rPr>
          <w:rStyle w:val="VerbatimChar"/>
          <w:b/>
          <w:bCs/>
        </w:rPr>
        <w:t xml:space="preserve">pre_match_ppg_positive</w:t>
      </w:r>
      <w:r>
        <w:t xml:space="preserve"> </w:t>
      </w:r>
      <w:r>
        <w:t xml:space="preserve">— Versione binarizzata della differenza nei punti per partita ottenuti ai Mondiali. Vale 1 se la squadra home ha un PPG pre-partita superiore all’avversaria, 0 altrimenti. Per le partite della fase a gironi vale 0 per definizione (le squadre non hanno ancora punti nel torneo), il che rende questa variabile particolarmente informativa nella fase a eliminazione diretta.</w:t>
      </w:r>
    </w:p>
    <w:p>
      <w:pPr>
        <w:pStyle w:val="BodyText"/>
      </w:pPr>
      <w:r>
        <w:rPr>
          <w:rStyle w:val="VerbatimChar"/>
          <w:b/>
          <w:bCs/>
        </w:rPr>
        <w:t xml:space="preserve">same_confederation</w:t>
      </w:r>
      <w:r>
        <w:t xml:space="preserve"> </w:t>
      </w:r>
      <w:r>
        <w:t xml:space="preserve">— Indicatore binario (1 = stessa confederazione, 0 = confederazioni diverse). L’ipotesi è che squadre dello stesso continente si conoscano meglio tatticamente, riducendo l’effetto del gap di qualità assoluta.</w:t>
      </w:r>
    </w:p>
    <w:p>
      <w:pPr>
        <w:pStyle w:val="BodyText"/>
      </w:pPr>
      <w:r>
        <w:rPr>
          <w:rStyle w:val="VerbatimChar"/>
          <w:b/>
          <w:bCs/>
        </w:rPr>
        <w:t xml:space="preserve">n_previous_meetings</w:t>
      </w:r>
      <w:r>
        <w:t xml:space="preserve"> </w:t>
      </w:r>
      <w:r>
        <w:t xml:space="preserve">— Numero di volte che le due squadre si sono affrontate ai Mondiali nelle edizioni 1930–2018. Coppie che non si sono mai incontrate ottengono valore 0.</w:t>
      </w:r>
    </w:p>
    <w:p>
      <w:pPr>
        <w:pStyle w:val="BodyText"/>
      </w:pPr>
      <w:r>
        <w:rPr>
          <w:rStyle w:val="VerbatimChar"/>
          <w:b/>
          <w:bCs/>
        </w:rPr>
        <w:t xml:space="preserve">h2h_goal_diff</w:t>
      </w:r>
      <w:r>
        <w:t xml:space="preserve"> </w:t>
      </w:r>
      <w:r>
        <w:t xml:space="preserve">— Differenza cumulativa in gol nelle sfide mondiali precedenti, dalla prospettiva della squadra home. Misura il dominio relativo storico.</w:t>
      </w:r>
    </w:p>
    <w:p>
      <w:pPr>
        <w:pStyle w:val="BodyText"/>
      </w:pPr>
      <w:r>
        <w:rPr>
          <w:rStyle w:val="VerbatimChar"/>
          <w:b/>
          <w:bCs/>
        </w:rPr>
        <w:t xml:space="preserve">h2h_win_rate</w:t>
      </w:r>
      <w:r>
        <w:t xml:space="preserve"> </w:t>
      </w:r>
      <w:r>
        <w:t xml:space="preserve">— Percentuale di vittorie storiche della squadra home nelle sfide precedenti ai Mondiali. Coppie mai incontrate ottengono valore 0.</w:t>
      </w:r>
    </w:p>
    <w:p>
      <w:pPr>
        <w:pStyle w:val="BodyText"/>
      </w:pPr>
      <w:r>
        <w:rPr>
          <w:rStyle w:val="VerbatimChar"/>
          <w:b/>
          <w:bCs/>
        </w:rPr>
        <w:t xml:space="preserve">players_age_difference</w:t>
      </w:r>
      <w:r>
        <w:t xml:space="preserve"> </w:t>
      </w:r>
      <w:r>
        <w:t xml:space="preserve">— Differenza tra l’età media dei giocatori scesi in campo per la squadra home e quella dell’avversaria, calcolata partita per partita con i dati del pacchetto</w:t>
      </w:r>
      <w:r>
        <w:t xml:space="preserve"> </w:t>
      </w:r>
      <w:r>
        <w:rPr>
          <w:rStyle w:val="VerbatimChar"/>
        </w:rPr>
        <w:t xml:space="preserve">worldcup</w:t>
      </w:r>
      <w:r>
        <w:t xml:space="preserve">. Questa variabile è concettualmente superiore all’età media della rosa convocata (già testata e scartata in precedenza), perché riflette le scelte effettive dell’allenatore e la composizione reale del gruppo che ha disputato la gara.</w:t>
      </w:r>
    </w:p>
    <w:p>
      <w:pPr>
        <w:pStyle w:val="BodyText"/>
      </w:pPr>
      <w:r>
        <w:rPr>
          <w:rStyle w:val="VerbatimChar"/>
          <w:b/>
          <w:bCs/>
        </w:rPr>
        <w:t xml:space="preserve">implied_probability_difference</w:t>
      </w:r>
      <w:r>
        <w:t xml:space="preserve"> </w:t>
      </w:r>
      <w:r>
        <w:t xml:space="preserve">— Differenza nelle probabilità implicite di vittoria derivate dalle quote dei bookmaker, normalizzate con il metodo di Shin:</w:t>
      </w:r>
      <w:r>
        <w:t xml:space="preserve"> </w:t>
      </w:r>
      <m:oMath>
        <m:sSub>
          <m:e>
            <m:acc>
              <m:accPr>
                <m:chr m:val="̂"/>
              </m:accPr>
              <m:e>
                <m:r>
                  <m:t>p</m:t>
                </m:r>
              </m:e>
            </m:acc>
          </m:e>
          <m:sub>
            <m:r>
              <m:t>k</m:t>
            </m:r>
          </m:sub>
        </m:sSub>
        <m:r>
          <m:rPr>
            <m:sty m:val="p"/>
          </m:rPr>
          <m:t>=</m:t>
        </m:r>
        <m:r>
          <m:rPr>
            <m:sty m:val="p"/>
          </m:rPr>
          <m:t>(</m:t>
        </m:r>
        <m:r>
          <m:t>1</m:t>
        </m:r>
        <m:r>
          <m:rPr>
            <m:sty m:val="p"/>
          </m:rPr>
          <m:t>/</m:t>
        </m:r>
        <m:sSub>
          <m:e>
            <m:r>
              <m:t>q</m:t>
            </m:r>
          </m:e>
          <m:sub>
            <m:r>
              <m:t>k</m:t>
            </m:r>
          </m:sub>
        </m:sSub>
        <m:r>
          <m:rPr>
            <m:sty m:val="p"/>
          </m:rPr>
          <m:t>)</m:t>
        </m:r>
        <m:r>
          <m:rPr>
            <m:sty m:val="p"/>
          </m:rPr>
          <m:t>/</m:t>
        </m:r>
        <m:nary>
          <m:naryPr>
            <m:chr m:val="∑"/>
            <m:limLoc m:val="undOvr"/>
            <m:subHide m:val="off"/>
            <m:supHide m:val="on"/>
          </m:naryPr>
          <m:sub>
            <m:r>
              <m:t>j</m:t>
            </m:r>
          </m:sub>
          <m:sup>
            <m:r>
              <m:t>​</m:t>
            </m:r>
          </m:sup>
          <m:e>
            <m:r>
              <m:rPr>
                <m:sty m:val="p"/>
              </m:rPr>
              <m:t>(</m:t>
            </m:r>
          </m:e>
        </m:nary>
        <m:r>
          <m:t>1</m:t>
        </m:r>
        <m:r>
          <m:rPr>
            <m:sty m:val="p"/>
          </m:rPr>
          <m:t>/</m:t>
        </m:r>
        <m:sSub>
          <m:e>
            <m:r>
              <m:t>q</m:t>
            </m:r>
          </m:e>
          <m:sub>
            <m:r>
              <m:t>j</m:t>
            </m:r>
          </m:sub>
        </m:sSub>
        <m:r>
          <m:rPr>
            <m:sty m:val="p"/>
          </m:rPr>
          <m:t>)</m:t>
        </m:r>
      </m:oMath>
      <w:r>
        <w:t xml:space="preserve">. Sintetizza la valutazione di mercato della forza relativa, incorporando forma recente, infortuni e contesto tattico.</w:t>
      </w:r>
    </w:p>
    <w:p>
      <w:pPr>
        <w:pStyle w:val="BodyText"/>
      </w:pPr>
      <w:r>
        <w:rPr>
          <w:rStyle w:val="VerbatimChar"/>
          <w:b/>
          <w:bCs/>
        </w:rPr>
        <w:t xml:space="preserve">knockout</w:t>
      </w:r>
      <w:r>
        <w:t xml:space="preserve"> </w:t>
      </w:r>
      <w:r>
        <w:t xml:space="preserve">— Dummy (0 = gironi, 1 = eliminazione diretta). Cattura il cambiamento nelle dinamiche di gioco quando una sconfitta comporta l’eliminazione.</w:t>
      </w:r>
    </w:p>
    <w:p>
      <w:pPr>
        <w:pStyle w:val="BodyText"/>
      </w:pPr>
      <w:r>
        <w:rPr>
          <w:rStyle w:val="VerbatimChar"/>
          <w:b/>
          <w:bCs/>
        </w:rPr>
        <w:t xml:space="preserve">historical_success_difference</w:t>
      </w:r>
      <w:r>
        <w:t xml:space="preserve"> </w:t>
      </w:r>
      <w:r>
        <w:t xml:space="preserve">— Differenza nei punteggi di successo storico, calcolati come</w:t>
      </w:r>
      <w:r>
        <w:t xml:space="preserve"> </w:t>
      </w:r>
      <m:oMath>
        <m:r>
          <m:rPr>
            <m:sty m:val="p"/>
          </m:rPr>
          <m:t>log</m:t>
        </m:r>
        <m:r>
          <m:rPr>
            <m:sty m:val="p"/>
          </m:rPr>
          <m:t>(</m:t>
        </m:r>
        <m:r>
          <m:t>1</m:t>
        </m:r>
        <m:r>
          <m:rPr>
            <m:sty m:val="p"/>
          </m:rPr>
          <m:t>+</m:t>
        </m:r>
        <m:r>
          <m:rPr>
            <m:nor/>
            <m:sty m:val="p"/>
          </m:rPr>
          <m:t>n. piazzamenti top-4 nelle edizioni precedenti</m:t>
        </m:r>
        <m:r>
          <m:rPr>
            <m:sty m:val="p"/>
          </m:rPr>
          <m:t>)</m:t>
        </m:r>
      </m:oMath>
      <w:r>
        <w:t xml:space="preserve">. La trasformazione logaritmica comprime l’eterogeneità tra Brasile/Germania (con decine di podi) e nazionali alla prima partecipazione.</w:t>
      </w:r>
    </w:p>
    <w:p>
      <w:pPr>
        <w:pStyle w:val="BodyText"/>
      </w:pPr>
      <w:r>
        <w:rPr>
          <w:rStyle w:val="VerbatimChar"/>
          <w:b/>
          <w:bCs/>
        </w:rPr>
        <w:t xml:space="preserve">pre_match_xg_difference</w:t>
      </w:r>
      <w:r>
        <w:t xml:space="preserve"> </w:t>
      </w:r>
      <w:r>
        <w:t xml:space="preserve">— Differenza negli xG pre-partita (expected goals attribuiti dalle piattaforme di analisi tattica prima del match). Inclusa nel pool ma già mostrata non significativa nella versione precedente: rimane nella selezione automatica come controllo.</w:t>
      </w:r>
    </w:p>
    <w:p>
      <w:pPr>
        <w:pStyle w:val="BodyText"/>
      </w:pPr>
      <w:r>
        <w:t xml:space="preserve">Le variabili principali del modello saranno</w:t>
      </w:r>
      <w:r>
        <w:t xml:space="preserve"> </w:t>
      </w:r>
      <w:r>
        <w:rPr>
          <w:rStyle w:val="VerbatimChar"/>
        </w:rPr>
        <w:t xml:space="preserve">implied_probability_difference</w:t>
      </w:r>
      <w:r>
        <w:t xml:space="preserve"> </w:t>
      </w:r>
      <w:r>
        <w:t xml:space="preserve">e</w:t>
      </w:r>
      <w:r>
        <w:t xml:space="preserve"> </w:t>
      </w:r>
      <w:r>
        <w:rPr>
          <w:rStyle w:val="VerbatimChar"/>
        </w:rPr>
        <w:t xml:space="preserve">pre_match_ppg_positive</w:t>
      </w:r>
      <w:r>
        <w:t xml:space="preserve">.</w:t>
      </w:r>
    </w:p>
    <w:p>
      <w:pPr>
        <w:pStyle w:val="CaptionedFigure"/>
      </w:pPr>
      <w:r>
        <w:drawing>
          <wp:inline>
            <wp:extent cx="4620126" cy="3696101"/>
            <wp:effectExtent b="0" l="0" r="0" t="0"/>
            <wp:docPr descr="Relazione bivariata tra probabilità implicita e differenza reti" title="" id="16" name="Picture"/>
            <a:graphic>
              <a:graphicData uri="http://schemas.openxmlformats.org/drawingml/2006/picture">
                <pic:pic>
                  <pic:nvPicPr>
                    <pic:cNvPr descr="analisi_world.cup.2022_report_files/figure-docx/scatter-implied-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Relazione bivariata tra probabilità implicita e differenza reti</w:t>
      </w:r>
    </w:p>
    <w:p>
      <w:pPr>
        <w:pStyle w:val="BodyText"/>
      </w:pPr>
      <w:r>
        <w:t xml:space="preserve">Il grafico mostra la relazione bivariata tra la differenza di probabilità implicita (ricavata dalle quote dei bookmaker) e la differenza reti osservata a fine partita. La retta di regressione con banda di confidenza al 95% evidenzia una relazione positiva e visivamente chiara: all’aumentare del vantaggio probabilistico attribuito dal mercato a una squadra, tende ad aumentare anche il margine di vittoria in termini di reti.</w:t>
      </w:r>
    </w:p>
    <w:p>
      <w:pPr>
        <w:pStyle w:val="BodyText"/>
      </w:pPr>
      <w:r>
        <w:t xml:space="preserve">La pendenza positiva della retta conferma che le quote dei bookmaker contengono informazione predittiva rilevante sul risultato: le partite con differenza di probabilità implicita più elevata (squadre nettamente favorite, valori sull’asse x vicini a 0.8) tendono a risolversi con scarti più ampi, mentre le partite equilibrate (valori prossimi a zero) si concentrano attorno alla parità. La banda di confidenza si allarga ai bordi del range, segnalando maggiore incertezza per le partite con squilibri estremi, dove il numero di osservazioni disponibili è naturalmente più ridotto.</w:t>
      </w:r>
    </w:p>
    <w:p>
      <w:pPr>
        <w:pStyle w:val="CaptionedFigure"/>
      </w:pPr>
      <w:r>
        <w:drawing>
          <wp:inline>
            <wp:extent cx="4620126" cy="3696101"/>
            <wp:effectExtent b="0" l="0" r="0" t="0"/>
            <wp:docPr descr="Distribuzione della differenza reti per vantaggio PPG" title="" id="19" name="Picture"/>
            <a:graphic>
              <a:graphicData uri="http://schemas.openxmlformats.org/drawingml/2006/picture">
                <pic:pic>
                  <pic:nvPicPr>
                    <pic:cNvPr descr="analisi_world.cup.2022_report_files/figure-docx/boxplot-ppg-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Distribuzione della differenza reti per vantaggio PPG</w:t>
      </w:r>
    </w:p>
    <w:p>
      <w:pPr>
        <w:pStyle w:val="BodyText"/>
      </w:pPr>
      <w:r>
        <w:t xml:space="preserve">Il boxplot confronta la distribuzione della differenza reti nelle partite in cui la squadra home aveva un rendimento stagionale (PPG, punti per partita) inferiore o uguale a quello della squadra away, rispetto alle partite in cui il PPG home era superiore. Il pattern emerge con chiarezza: quando la squadra di casa è la più forte in termini di PPG, la distribuzione della differenza reti si sposta verso valori più elevati, con un terzo quartile che supera 2 gol di scarto e una mediana leggermente positiva. Al contrario, quando la squadra home ha un PPG inferiore o uguale all’avversaria, la distribuzione si concentra in un intervallo più ristretto e con mediana prossima a 1, suggerendo che in questi casi il risultato tende comunque a pendere leggermente a favore della squadra di casa, ma con molta meno variabilità.</w:t>
      </w:r>
    </w:p>
    <w:p>
      <w:pPr>
        <w:pStyle w:val="BodyText"/>
      </w:pPr>
      <w:r>
        <w:t xml:space="preserve">Va notato che il gruppo</w:t>
      </w:r>
      <w:r>
        <w:t xml:space="preserve"> </w:t>
      </w:r>
      <w:r>
        <w:t xml:space="preserve">“PPG superiore”</w:t>
      </w:r>
      <w:r>
        <w:t xml:space="preserve"> </w:t>
      </w:r>
      <w:r>
        <w:t xml:space="preserve">presenta una dispersione interquartilica decisamente più ampia, a indicare che il vantaggio in termini di rendimento stagionale non si traduce in modo uniforme nel risultato della singola partita. La presenza di alcuni outlier nel gruppo</w:t>
      </w:r>
      <w:r>
        <w:t xml:space="preserve"> </w:t>
      </w:r>
      <w:r>
        <w:t xml:space="preserve">“PPG inferiore o uguale”</w:t>
      </w:r>
      <w:r>
        <w:t xml:space="preserve"> </w:t>
      </w:r>
      <w:r>
        <w:t xml:space="preserve">segnala che upset clamorosi non sono rari nemmeno quando la squadra home parte sfavorita. Complessivamente, il grafico supporta l’inclusione del PPG come predittore nel modello, pur evidenziando che la sua relazione con l’esito della partita è tutt’altro che deterministica.</w:t>
      </w:r>
    </w:p>
    <w:bookmarkEnd w:id="21"/>
    <w:bookmarkEnd w:id="22"/>
    <w:bookmarkEnd w:id="23"/>
    <w:bookmarkStart w:id="30" w:name="costruzione-del-modello"/>
    <w:p>
      <w:pPr>
        <w:pStyle w:val="Heading1"/>
      </w:pPr>
      <w:r>
        <w:t xml:space="preserve">3. Costruzione del modello</w:t>
      </w:r>
    </w:p>
    <w:p>
      <w:pPr>
        <w:pStyle w:val="FirstParagraph"/>
      </w:pPr>
      <w:r>
        <w:t xml:space="preserve">La selezione delle variabili segue un approccio</w:t>
      </w:r>
      <w:r>
        <w:t xml:space="preserve"> </w:t>
      </w:r>
      <w:r>
        <w:rPr>
          <w:b/>
          <w:bCs/>
        </w:rPr>
        <w:t xml:space="preserve">theory-driven con backward elimination</w:t>
      </w:r>
      <w:r>
        <w:t xml:space="preserve">, integrato da verifiche di multicollinearità (VIF). Le procedure di selezione automatica sono usate come controllo di robustezza, non come criterio primario.</w:t>
      </w:r>
    </w:p>
    <w:bookmarkStart w:id="24" w:name="X5d135e4fa88314e4d903cf7b813f7523b19a5c4"/>
    <w:p>
      <w:pPr>
        <w:pStyle w:val="Heading2"/>
      </w:pPr>
      <w:r>
        <w:t xml:space="preserve">3.1 Screening marginale delle variabili candidate</w:t>
      </w:r>
    </w:p>
    <w:p>
      <w:pPr>
        <w:pStyle w:val="FirstParagraph"/>
      </w:pPr>
      <w:r>
        <w:t xml:space="preserve">Prima di procedere con il modello multiplo, si valuta singolarmente la relazione di ciascuna variabile con la risposta. Lo scopo è identificare predittori con associazione marginale nulla, che potrebbero tuttavia risultare significativi nel modello multiplo per effetto di soppressione — come già documentato per la PPG nella versione precedente dell’analisi.</w:t>
      </w:r>
    </w:p>
    <w:p>
      <w:pPr>
        <w:pStyle w:val="TableCaption"/>
      </w:pPr>
      <w:r>
        <w:t xml:space="preserve">Screening marginale: ogni variabile vs goal_difference</w:t>
      </w:r>
    </w:p>
    <w:tbl>
      <w:tblPr>
        <w:tblStyle w:val="Table"/>
        <w:tblW w:type="auto" w:w="0"/>
        <w:tblLook w:firstRow="1" w:lastRow="0" w:firstColumn="0" w:lastColumn="0" w:noHBand="0" w:noVBand="0" w:val="0020"/>
        <w:tblCaption w:val="Screening marginale: ogni variabile vs goal_difference"/>
      </w:tblPr>
      <w:tblGrid>
        <w:gridCol w:w="1980"/>
        <w:gridCol w:w="1980"/>
        <w:gridCol w:w="1980"/>
        <w:gridCol w:w="1980"/>
      </w:tblGrid>
      <w:tr>
        <w:trPr>
          <w:tblHeader w:val="on"/>
        </w:trPr>
        <w:tc>
          <w:tcPr/>
          <w:p>
            <w:pPr>
              <w:pStyle w:val="Compact"/>
              <w:jc w:val="left"/>
            </w:pPr>
            <w:r>
              <w:t xml:space="preserve">Variabile</w:t>
            </w:r>
          </w:p>
        </w:tc>
        <w:tc>
          <w:tcPr/>
          <w:p>
            <w:pPr>
              <w:pStyle w:val="Compact"/>
              <w:jc w:val="right"/>
            </w:pPr>
            <w:r>
              <w:t xml:space="preserve">beta_1</w:t>
            </w:r>
          </w:p>
        </w:tc>
        <w:tc>
          <w:tcPr/>
          <w:p>
            <w:pPr>
              <w:pStyle w:val="Compact"/>
              <w:jc w:val="right"/>
            </w:pPr>
            <w:r>
              <w:t xml:space="preserve">R2</w:t>
            </w:r>
          </w:p>
        </w:tc>
        <w:tc>
          <w:tcPr/>
          <w:p>
            <w:pPr>
              <w:pStyle w:val="Compact"/>
              <w:jc w:val="right"/>
            </w:pPr>
            <w:r>
              <w:t xml:space="preserve">p_value</w:t>
            </w:r>
          </w:p>
        </w:tc>
      </w:tr>
      <w:tr>
        <w:tc>
          <w:tcPr/>
          <w:p>
            <w:pPr>
              <w:pStyle w:val="Compact"/>
              <w:jc w:val="left"/>
            </w:pPr>
            <w:r>
              <w:t xml:space="preserve">implied_probability_difference</w:t>
            </w:r>
          </w:p>
        </w:tc>
        <w:tc>
          <w:tcPr/>
          <w:p>
            <w:pPr>
              <w:pStyle w:val="Compact"/>
              <w:jc w:val="right"/>
            </w:pPr>
            <w:r>
              <w:t xml:space="preserve">0.8979</w:t>
            </w:r>
          </w:p>
        </w:tc>
        <w:tc>
          <w:tcPr/>
          <w:p>
            <w:pPr>
              <w:pStyle w:val="Compact"/>
              <w:jc w:val="right"/>
            </w:pPr>
            <w:r>
              <w:t xml:space="preserve">0.2331</w:t>
            </w:r>
          </w:p>
        </w:tc>
        <w:tc>
          <w:tcPr/>
          <w:p>
            <w:pPr>
              <w:pStyle w:val="Compact"/>
              <w:jc w:val="right"/>
            </w:pPr>
            <w:r>
              <w:t xml:space="preserve">0.0001</w:t>
            </w:r>
          </w:p>
        </w:tc>
      </w:tr>
      <w:tr>
        <w:tc>
          <w:tcPr/>
          <w:p>
            <w:pPr>
              <w:pStyle w:val="Compact"/>
              <w:jc w:val="left"/>
            </w:pPr>
            <w:r>
              <w:t xml:space="preserve">pre_match_xg_difference</w:t>
            </w:r>
          </w:p>
        </w:tc>
        <w:tc>
          <w:tcPr/>
          <w:p>
            <w:pPr>
              <w:pStyle w:val="Compact"/>
              <w:jc w:val="right"/>
            </w:pPr>
            <w:r>
              <w:t xml:space="preserve">0.3536</w:t>
            </w:r>
          </w:p>
        </w:tc>
        <w:tc>
          <w:tcPr/>
          <w:p>
            <w:pPr>
              <w:pStyle w:val="Compact"/>
              <w:jc w:val="right"/>
            </w:pPr>
            <w:r>
              <w:t xml:space="preserve">0.0361</w:t>
            </w:r>
          </w:p>
        </w:tc>
        <w:tc>
          <w:tcPr/>
          <w:p>
            <w:pPr>
              <w:pStyle w:val="Compact"/>
              <w:jc w:val="right"/>
            </w:pPr>
            <w:r>
              <w:t xml:space="preserve">0.1325</w:t>
            </w:r>
          </w:p>
        </w:tc>
      </w:tr>
      <w:tr>
        <w:tc>
          <w:tcPr/>
          <w:p>
            <w:pPr>
              <w:pStyle w:val="Compact"/>
              <w:jc w:val="left"/>
            </w:pPr>
            <w:r>
              <w:t xml:space="preserve">historical_success_difference</w:t>
            </w:r>
          </w:p>
        </w:tc>
        <w:tc>
          <w:tcPr/>
          <w:p>
            <w:pPr>
              <w:pStyle w:val="Compact"/>
              <w:jc w:val="right"/>
            </w:pPr>
            <w:r>
              <w:t xml:space="preserve">0.8291</w:t>
            </w:r>
          </w:p>
        </w:tc>
        <w:tc>
          <w:tcPr/>
          <w:p>
            <w:pPr>
              <w:pStyle w:val="Compact"/>
              <w:jc w:val="right"/>
            </w:pPr>
            <w:r>
              <w:t xml:space="preserve">0.1987</w:t>
            </w:r>
          </w:p>
        </w:tc>
        <w:tc>
          <w:tcPr/>
          <w:p>
            <w:pPr>
              <w:pStyle w:val="Compact"/>
              <w:jc w:val="right"/>
            </w:pPr>
            <w:r>
              <w:t xml:space="preserve">0.0002</w:t>
            </w:r>
          </w:p>
        </w:tc>
      </w:tr>
      <w:tr>
        <w:tc>
          <w:tcPr/>
          <w:p>
            <w:pPr>
              <w:pStyle w:val="Compact"/>
              <w:jc w:val="left"/>
            </w:pPr>
            <w:r>
              <w:t xml:space="preserve">players_age_difference</w:t>
            </w:r>
          </w:p>
        </w:tc>
        <w:tc>
          <w:tcPr/>
          <w:p>
            <w:pPr>
              <w:pStyle w:val="Compact"/>
              <w:jc w:val="right"/>
            </w:pPr>
            <w:r>
              <w:t xml:space="preserve">-0.4313</w:t>
            </w:r>
          </w:p>
        </w:tc>
        <w:tc>
          <w:tcPr/>
          <w:p>
            <w:pPr>
              <w:pStyle w:val="Compact"/>
              <w:jc w:val="right"/>
            </w:pPr>
            <w:r>
              <w:t xml:space="preserve">0.0538</w:t>
            </w:r>
          </w:p>
        </w:tc>
        <w:tc>
          <w:tcPr/>
          <w:p>
            <w:pPr>
              <w:pStyle w:val="Compact"/>
              <w:jc w:val="right"/>
            </w:pPr>
            <w:r>
              <w:t xml:space="preserve">0.0652</w:t>
            </w:r>
          </w:p>
        </w:tc>
      </w:tr>
      <w:tr>
        <w:tc>
          <w:tcPr/>
          <w:p>
            <w:pPr>
              <w:pStyle w:val="Compact"/>
              <w:jc w:val="left"/>
            </w:pPr>
            <w:r>
              <w:t xml:space="preserve">n_previous_meetings</w:t>
            </w:r>
          </w:p>
        </w:tc>
        <w:tc>
          <w:tcPr/>
          <w:p>
            <w:pPr>
              <w:pStyle w:val="Compact"/>
              <w:jc w:val="right"/>
            </w:pPr>
            <w:r>
              <w:t xml:space="preserve">-0.0758</w:t>
            </w:r>
          </w:p>
        </w:tc>
        <w:tc>
          <w:tcPr/>
          <w:p>
            <w:pPr>
              <w:pStyle w:val="Compact"/>
              <w:jc w:val="right"/>
            </w:pPr>
            <w:r>
              <w:t xml:space="preserve">0.0017</w:t>
            </w:r>
          </w:p>
        </w:tc>
        <w:tc>
          <w:tcPr/>
          <w:p>
            <w:pPr>
              <w:pStyle w:val="Compact"/>
              <w:jc w:val="right"/>
            </w:pPr>
            <w:r>
              <w:t xml:space="preserve">0.7491</w:t>
            </w:r>
          </w:p>
        </w:tc>
      </w:tr>
      <w:tr>
        <w:tc>
          <w:tcPr/>
          <w:p>
            <w:pPr>
              <w:pStyle w:val="Compact"/>
              <w:jc w:val="left"/>
            </w:pPr>
            <w:r>
              <w:t xml:space="preserve">h2h_goal_diff</w:t>
            </w:r>
          </w:p>
        </w:tc>
        <w:tc>
          <w:tcPr/>
          <w:p>
            <w:pPr>
              <w:pStyle w:val="Compact"/>
              <w:jc w:val="right"/>
            </w:pPr>
            <w:r>
              <w:t xml:space="preserve">0.0481</w:t>
            </w:r>
          </w:p>
        </w:tc>
        <w:tc>
          <w:tcPr/>
          <w:p>
            <w:pPr>
              <w:pStyle w:val="Compact"/>
              <w:jc w:val="right"/>
            </w:pPr>
            <w:r>
              <w:t xml:space="preserve">0.0007</w:t>
            </w:r>
          </w:p>
        </w:tc>
        <w:tc>
          <w:tcPr/>
          <w:p>
            <w:pPr>
              <w:pStyle w:val="Compact"/>
              <w:jc w:val="right"/>
            </w:pPr>
            <w:r>
              <w:t xml:space="preserve">0.8393</w:t>
            </w:r>
          </w:p>
        </w:tc>
      </w:tr>
      <w:tr>
        <w:tc>
          <w:tcPr/>
          <w:p>
            <w:pPr>
              <w:pStyle w:val="Compact"/>
              <w:jc w:val="left"/>
            </w:pPr>
            <w:r>
              <w:t xml:space="preserve">h2h_win_rate</w:t>
            </w:r>
          </w:p>
        </w:tc>
        <w:tc>
          <w:tcPr/>
          <w:p>
            <w:pPr>
              <w:pStyle w:val="Compact"/>
              <w:jc w:val="right"/>
            </w:pPr>
            <w:r>
              <w:t xml:space="preserve">0.0280</w:t>
            </w:r>
          </w:p>
        </w:tc>
        <w:tc>
          <w:tcPr/>
          <w:p>
            <w:pPr>
              <w:pStyle w:val="Compact"/>
              <w:jc w:val="right"/>
            </w:pPr>
            <w:r>
              <w:t xml:space="preserve">0.0002</w:t>
            </w:r>
          </w:p>
        </w:tc>
        <w:tc>
          <w:tcPr/>
          <w:p>
            <w:pPr>
              <w:pStyle w:val="Compact"/>
              <w:jc w:val="right"/>
            </w:pPr>
            <w:r>
              <w:t xml:space="preserve">0.9059</w:t>
            </w:r>
          </w:p>
        </w:tc>
      </w:tr>
      <w:tr>
        <w:tc>
          <w:tcPr/>
          <w:p>
            <w:pPr>
              <w:pStyle w:val="Compact"/>
              <w:jc w:val="left"/>
            </w:pPr>
            <w:r>
              <w:t xml:space="preserve">pre_match_ppg_positive</w:t>
            </w:r>
          </w:p>
        </w:tc>
        <w:tc>
          <w:tcPr/>
          <w:p>
            <w:pPr>
              <w:pStyle w:val="Compact"/>
              <w:jc w:val="right"/>
            </w:pPr>
            <w:r>
              <w:t xml:space="preserve">-0.2086</w:t>
            </w:r>
          </w:p>
        </w:tc>
        <w:tc>
          <w:tcPr/>
          <w:p>
            <w:pPr>
              <w:pStyle w:val="Compact"/>
              <w:jc w:val="right"/>
            </w:pPr>
            <w:r>
              <w:t xml:space="preserve">0.0126</w:t>
            </w:r>
          </w:p>
        </w:tc>
        <w:tc>
          <w:tcPr/>
          <w:p>
            <w:pPr>
              <w:pStyle w:val="Compact"/>
              <w:jc w:val="right"/>
            </w:pPr>
            <w:r>
              <w:t xml:space="preserve">0.3776</w:t>
            </w:r>
          </w:p>
        </w:tc>
      </w:tr>
      <w:tr>
        <w:tc>
          <w:tcPr/>
          <w:p>
            <w:pPr>
              <w:pStyle w:val="Compact"/>
              <w:jc w:val="left"/>
            </w:pPr>
            <w:r>
              <w:t xml:space="preserve">knockout</w:t>
            </w:r>
          </w:p>
        </w:tc>
        <w:tc>
          <w:tcPr/>
          <w:p>
            <w:pPr>
              <w:pStyle w:val="Compact"/>
              <w:jc w:val="right"/>
            </w:pPr>
            <w:r>
              <w:t xml:space="preserve">0.5274</w:t>
            </w:r>
          </w:p>
        </w:tc>
        <w:tc>
          <w:tcPr/>
          <w:p>
            <w:pPr>
              <w:pStyle w:val="Compact"/>
              <w:jc w:val="right"/>
            </w:pPr>
            <w:r>
              <w:t xml:space="preserve">0.0804</w:t>
            </w:r>
          </w:p>
        </w:tc>
        <w:tc>
          <w:tcPr/>
          <w:p>
            <w:pPr>
              <w:pStyle w:val="Compact"/>
              <w:jc w:val="right"/>
            </w:pPr>
            <w:r>
              <w:t xml:space="preserve">0.0232</w:t>
            </w:r>
          </w:p>
        </w:tc>
      </w:tr>
      <w:tr>
        <w:tc>
          <w:tcPr/>
          <w:p>
            <w:pPr>
              <w:pStyle w:val="Compact"/>
              <w:jc w:val="left"/>
            </w:pPr>
            <w:r>
              <w:t xml:space="preserve">same_confederation</w:t>
            </w:r>
          </w:p>
        </w:tc>
        <w:tc>
          <w:tcPr/>
          <w:p>
            <w:pPr>
              <w:pStyle w:val="Compact"/>
              <w:jc w:val="right"/>
            </w:pPr>
            <w:r>
              <w:t xml:space="preserve">-0.0357</w:t>
            </w:r>
          </w:p>
        </w:tc>
        <w:tc>
          <w:tcPr/>
          <w:p>
            <w:pPr>
              <w:pStyle w:val="Compact"/>
              <w:jc w:val="right"/>
            </w:pPr>
            <w:r>
              <w:t xml:space="preserve">0.0004</w:t>
            </w:r>
          </w:p>
        </w:tc>
        <w:tc>
          <w:tcPr/>
          <w:p>
            <w:pPr>
              <w:pStyle w:val="Compact"/>
              <w:jc w:val="right"/>
            </w:pPr>
            <w:r>
              <w:t xml:space="preserve">0.8803</w:t>
            </w:r>
          </w:p>
        </w:tc>
      </w:tr>
    </w:tbl>
    <w:p>
      <w:pPr>
        <w:pStyle w:val="BodyText"/>
      </w:pPr>
      <w:r>
        <w:t xml:space="preserve">Lo screening marginale, con tutte le variabili standardizzate, conferma che</w:t>
      </w:r>
      <w:r>
        <w:t xml:space="preserve"> </w:t>
      </w:r>
      <w:r>
        <w:rPr>
          <w:rStyle w:val="VerbatimChar"/>
        </w:rPr>
        <w:t xml:space="preserve">implied_probability_difference</w:t>
      </w:r>
      <w:r>
        <w:t xml:space="preserve"> </w:t>
      </w:r>
      <w:r>
        <w:t xml:space="preserve">è il predittore marginalmente più forte (β = 0.90, R² = 0.23, p &lt; 0.001), seguita da</w:t>
      </w:r>
      <w:r>
        <w:t xml:space="preserve"> </w:t>
      </w:r>
      <w:r>
        <w:rPr>
          <w:rStyle w:val="VerbatimChar"/>
        </w:rPr>
        <w:t xml:space="preserve">historical_success_difference</w:t>
      </w:r>
      <w:r>
        <w:t xml:space="preserve"> </w:t>
      </w:r>
      <w:r>
        <w:t xml:space="preserve">(β = 0.83, R² = 0.20, p &lt; 0.001): entrambe spiegano individualmente una quota rilevante della variabilità del goal difference. La variabile</w:t>
      </w:r>
      <w:r>
        <w:t xml:space="preserve"> </w:t>
      </w:r>
      <w:r>
        <w:rPr>
          <w:rStyle w:val="VerbatimChar"/>
        </w:rPr>
        <w:t xml:space="preserve">knockout</w:t>
      </w:r>
      <w:r>
        <w:t xml:space="preserve"> </w:t>
      </w:r>
      <w:r>
        <w:t xml:space="preserve">risulta significativa (β = 0.53, p = 0.023) con un R² modesto (0.08), indicando che le partite a eliminazione diretta tendono ad avere differenze reti più ampie a parità di tutto il resto. La variabile</w:t>
      </w:r>
      <w:r>
        <w:t xml:space="preserve"> </w:t>
      </w:r>
      <w:r>
        <w:rPr>
          <w:rStyle w:val="VerbatimChar"/>
        </w:rPr>
        <w:t xml:space="preserve">players_age_difference</w:t>
      </w:r>
      <w:r>
        <w:t xml:space="preserve"> </w:t>
      </w:r>
      <w:r>
        <w:t xml:space="preserve">si colloca in una zona borderline (β = −0.43, p = 0.065), con un’associazione negativa che suggerisce come squadre mediamente più giovani possano avvantaggiarsi leggermente. Le variabili testa a testa (</w:t>
      </w:r>
      <w:r>
        <w:rPr>
          <w:rStyle w:val="VerbatimChar"/>
        </w:rPr>
        <w:t xml:space="preserve">h2h_goal_diff</w:t>
      </w:r>
      <w:r>
        <w:t xml:space="preserve">,</w:t>
      </w:r>
      <w:r>
        <w:t xml:space="preserve"> </w:t>
      </w:r>
      <w:r>
        <w:rPr>
          <w:rStyle w:val="VerbatimChar"/>
        </w:rPr>
        <w:t xml:space="preserve">h2h_win_rate</w:t>
      </w:r>
      <w:r>
        <w:t xml:space="preserve">,</w:t>
      </w:r>
      <w:r>
        <w:t xml:space="preserve"> </w:t>
      </w:r>
      <w:r>
        <w:rPr>
          <w:rStyle w:val="VerbatimChar"/>
        </w:rPr>
        <w:t xml:space="preserve">n_previous_meetings</w:t>
      </w:r>
      <w:r>
        <w:t xml:space="preserve">) mostrano beta prossimi a zero e p-value superiori a 0.74, confermando che la storia pregressa tra le squadre ha scarso potere esplicativo marginale. Analogamente,</w:t>
      </w:r>
      <w:r>
        <w:t xml:space="preserve"> </w:t>
      </w:r>
      <w:r>
        <w:rPr>
          <w:rStyle w:val="VerbatimChar"/>
        </w:rPr>
        <w:t xml:space="preserve">pre_match_xg_difference</w:t>
      </w:r>
      <w:r>
        <w:t xml:space="preserve"> </w:t>
      </w:r>
      <w:r>
        <w:t xml:space="preserve">(p = 0.13) e</w:t>
      </w:r>
      <w:r>
        <w:t xml:space="preserve"> </w:t>
      </w:r>
      <w:r>
        <w:rPr>
          <w:rStyle w:val="VerbatimChar"/>
        </w:rPr>
        <w:t xml:space="preserve">pre_match_ppg_positive</w:t>
      </w:r>
      <w:r>
        <w:t xml:space="preserve"> </w:t>
      </w:r>
      <w:r>
        <w:t xml:space="preserve">(p = 0.38) non raggiungono la significatività individuale, pur potendo contribuire in un contesto multivariato. Tuttavia, l’assenza di significatività marginale non è condizione sufficiente per escludere una variabile: si procede con l’analisi multivariata.</w:t>
      </w:r>
    </w:p>
    <w:p>
      <w:pPr>
        <w:pStyle w:val="TableCaption"/>
      </w:pPr>
      <w:r>
        <w:t xml:space="preserve">Verifica delle assunzioni tramite GVLMA per ciascun modello semplice</w:t>
      </w:r>
    </w:p>
    <w:tbl>
      <w:tblPr>
        <w:tblStyle w:val="Table"/>
        <w:tblW w:type="pct" w:w="5000"/>
        <w:tblLayout w:type="fixed"/>
        <w:tblLook w:firstRow="1" w:lastRow="0" w:firstColumn="0" w:lastColumn="0" w:noHBand="0" w:noVBand="0" w:val="0020"/>
        <w:tblCaption w:val="Verifica delle assunzioni tramite GVLMA per ciascun modello semplice"/>
      </w:tblPr>
      <w:tblGrid>
        <w:gridCol w:w="3147"/>
        <w:gridCol w:w="1015"/>
        <w:gridCol w:w="1015"/>
        <w:gridCol w:w="1015"/>
        <w:gridCol w:w="1726"/>
      </w:tblGrid>
      <w:tr>
        <w:trPr>
          <w:tblHeader w:val="on"/>
        </w:trPr>
        <w:tc>
          <w:tcPr/>
          <w:p>
            <w:pPr>
              <w:pStyle w:val="Compact"/>
              <w:jc w:val="left"/>
            </w:pPr>
            <w:r>
              <w:t xml:space="preserve">Variabile</w:t>
            </w:r>
          </w:p>
        </w:tc>
        <w:tc>
          <w:tcPr/>
          <w:p>
            <w:pPr>
              <w:pStyle w:val="Compact"/>
              <w:jc w:val="left"/>
            </w:pPr>
            <w:r>
              <w:t xml:space="preserve">Simmetria</w:t>
            </w:r>
          </w:p>
        </w:tc>
        <w:tc>
          <w:tcPr/>
          <w:p>
            <w:pPr>
              <w:pStyle w:val="Compact"/>
              <w:jc w:val="left"/>
            </w:pPr>
            <w:r>
              <w:t xml:space="preserve">Curtosi</w:t>
            </w:r>
          </w:p>
        </w:tc>
        <w:tc>
          <w:tcPr/>
          <w:p>
            <w:pPr>
              <w:pStyle w:val="Compact"/>
              <w:jc w:val="left"/>
            </w:pPr>
            <w:r>
              <w:t xml:space="preserve">Linearità</w:t>
            </w:r>
          </w:p>
        </w:tc>
        <w:tc>
          <w:tcPr/>
          <w:p>
            <w:pPr>
              <w:pStyle w:val="Compact"/>
              <w:jc w:val="left"/>
            </w:pPr>
            <w:r>
              <w:t xml:space="preserve">Omoschedasticità</w:t>
            </w:r>
          </w:p>
        </w:tc>
      </w:tr>
      <w:tr>
        <w:tc>
          <w:tcPr/>
          <w:p>
            <w:pPr>
              <w:pStyle w:val="Compact"/>
              <w:jc w:val="left"/>
            </w:pPr>
            <w:r>
              <w:t xml:space="preserve">implied_probability_difference</w:t>
            </w:r>
          </w:p>
        </w:tc>
        <w:tc>
          <w:tcPr/>
          <w:p>
            <w:pPr>
              <w:pStyle w:val="Compact"/>
              <w:jc w:val="left"/>
            </w:pPr>
            <w:r>
              <w:t xml:space="preserve">Accettata</w:t>
            </w:r>
          </w:p>
        </w:tc>
        <w:tc>
          <w:tcPr/>
          <w:p>
            <w:pPr>
              <w:pStyle w:val="Compact"/>
              <w:jc w:val="left"/>
            </w:pPr>
            <w:r>
              <w:t xml:space="preserve">Accettata</w:t>
            </w:r>
          </w:p>
        </w:tc>
        <w:tc>
          <w:tcPr/>
          <w:p>
            <w:pPr>
              <w:pStyle w:val="Compact"/>
              <w:jc w:val="left"/>
            </w:pPr>
            <w:r>
              <w:t xml:space="preserve">Rifiutata</w:t>
            </w:r>
          </w:p>
        </w:tc>
        <w:tc>
          <w:tcPr/>
          <w:p>
            <w:pPr>
              <w:pStyle w:val="Compact"/>
              <w:jc w:val="left"/>
            </w:pPr>
            <w:r>
              <w:t xml:space="preserve">Accettata</w:t>
            </w:r>
          </w:p>
        </w:tc>
      </w:tr>
      <w:tr>
        <w:tc>
          <w:tcPr/>
          <w:p>
            <w:pPr>
              <w:pStyle w:val="Compact"/>
              <w:jc w:val="left"/>
            </w:pPr>
            <w:r>
              <w:t xml:space="preserve">pre_match_xg_difference</w:t>
            </w:r>
          </w:p>
        </w:tc>
        <w:tc>
          <w:tcPr/>
          <w:p>
            <w:pPr>
              <w:pStyle w:val="Compact"/>
              <w:jc w:val="left"/>
            </w:pPr>
            <w:r>
              <w:t xml:space="preserve">Rifiutata</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historical_success_difference</w:t>
            </w:r>
          </w:p>
        </w:tc>
        <w:tc>
          <w:tcPr/>
          <w:p>
            <w:pPr>
              <w:pStyle w:val="Compact"/>
              <w:jc w:val="left"/>
            </w:pPr>
            <w:r>
              <w:t xml:space="preserve">Rifiutata</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players_age_difference</w:t>
            </w:r>
          </w:p>
        </w:tc>
        <w:tc>
          <w:tcPr/>
          <w:p>
            <w:pPr>
              <w:pStyle w:val="Compact"/>
              <w:jc w:val="left"/>
            </w:pPr>
            <w:r>
              <w:t xml:space="preserve">Accettata</w:t>
            </w:r>
          </w:p>
        </w:tc>
        <w:tc>
          <w:tcPr/>
          <w:p>
            <w:pPr>
              <w:pStyle w:val="Compact"/>
              <w:jc w:val="left"/>
            </w:pPr>
            <w:r>
              <w:t xml:space="preserve">Accettata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n_previous_meetings</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h2h_goal_diff</w:t>
            </w:r>
          </w:p>
        </w:tc>
        <w:tc>
          <w:tcPr/>
          <w:p>
            <w:pPr>
              <w:pStyle w:val="Compact"/>
              <w:jc w:val="left"/>
            </w:pPr>
            <w:r>
              <w:t xml:space="preserve">Rifiutata</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h2h_win_rate</w:t>
            </w:r>
          </w:p>
        </w:tc>
        <w:tc>
          <w:tcPr/>
          <w:p>
            <w:pPr>
              <w:pStyle w:val="Compact"/>
              <w:jc w:val="left"/>
            </w:pPr>
            <w:r>
              <w:t xml:space="preserve">Rifiutata</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pre_match_ppg_positive</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knockout</w:t>
            </w:r>
          </w:p>
        </w:tc>
        <w:tc>
          <w:tcPr/>
          <w:p>
            <w:pPr>
              <w:pStyle w:val="Compact"/>
              <w:jc w:val="left"/>
            </w:pPr>
            <w:r>
              <w:t xml:space="preserve">Rifiutata</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r>
      <w:tr>
        <w:tc>
          <w:tcPr/>
          <w:p>
            <w:pPr>
              <w:pStyle w:val="Compact"/>
              <w:jc w:val="left"/>
            </w:pPr>
            <w:r>
              <w:t xml:space="preserve">same_confederation</w:t>
            </w:r>
          </w:p>
        </w:tc>
        <w:tc>
          <w:tcPr/>
          <w:p>
            <w:pPr>
              <w:pStyle w:val="Compact"/>
              <w:jc w:val="left"/>
            </w:pPr>
            <w:r>
              <w:t xml:space="preserve">Rifiutata</w:t>
            </w:r>
          </w:p>
        </w:tc>
        <w:tc>
          <w:tcPr/>
          <w:p>
            <w:pPr>
              <w:pStyle w:val="Compact"/>
              <w:jc w:val="left"/>
            </w:pPr>
            <w:r>
              <w:t xml:space="preserve">Rifiutata</w:t>
            </w:r>
          </w:p>
        </w:tc>
        <w:tc>
          <w:tcPr/>
          <w:p>
            <w:pPr>
              <w:pStyle w:val="Compact"/>
              <w:jc w:val="left"/>
            </w:pPr>
            <w:r>
              <w:t xml:space="preserve">Accettata</w:t>
            </w:r>
          </w:p>
        </w:tc>
        <w:tc>
          <w:tcPr/>
          <w:p>
            <w:pPr>
              <w:pStyle w:val="Compact"/>
              <w:jc w:val="left"/>
            </w:pPr>
            <w:r>
              <w:t xml:space="preserve">Accettata</w:t>
            </w:r>
          </w:p>
        </w:tc>
      </w:tr>
    </w:tbl>
    <w:p>
      <w:pPr>
        <w:pStyle w:val="BodyText"/>
      </w:pPr>
      <w:r>
        <w:t xml:space="preserve">La verifica delle assunzioni classiche tramite GVLMA rivela un pattern sistematico: le violazioni riguardano quasi esclusivamente simmetria e curtosi dei residui, mentre linearità e omoschedasticità risultano soddisfatte per tutti i predittori.</w:t>
      </w:r>
      <w:r>
        <w:t xml:space="preserve"> </w:t>
      </w:r>
      <w:r>
        <w:t xml:space="preserve">In ogni caso, il test</w:t>
      </w:r>
      <w:r>
        <w:t xml:space="preserve"> </w:t>
      </w:r>
      <m:oMath>
        <m:r>
          <m:t>t</m:t>
        </m:r>
      </m:oMath>
      <w:r>
        <w:t xml:space="preserve"> </w:t>
      </w:r>
      <w:r>
        <w:t xml:space="preserve">sul coefficiente è asintoticamente robusto a moderate deviazioni dalla normalità, pertanto i risultati dello screening marginale precedente restano validi.</w:t>
      </w:r>
      <w:r>
        <w:t xml:space="preserve"> </w:t>
      </w:r>
      <w:r>
        <w:t xml:space="preserve">L’unica eccezione è</w:t>
      </w:r>
      <w:r>
        <w:t xml:space="preserve"> </w:t>
      </w:r>
      <w:r>
        <w:rPr>
          <w:rStyle w:val="VerbatimChar"/>
        </w:rPr>
        <w:t xml:space="preserve">players_age_difference</w:t>
      </w:r>
      <w:r>
        <w:t xml:space="preserve">, il cui modello semplice soddisfa tutte le assunzioni.</w:t>
      </w:r>
    </w:p>
    <w:bookmarkEnd w:id="24"/>
    <w:bookmarkStart w:id="25" w:name="X597c9c8677853cfe281a1c1ffe1ddbeb308a0ca"/>
    <w:p>
      <w:pPr>
        <w:pStyle w:val="Heading2"/>
      </w:pPr>
      <w:r>
        <w:t xml:space="preserve">3.2 Modello di partenza con tutte le variabili</w:t>
      </w:r>
    </w:p>
    <w:p>
      <w:pPr>
        <w:pStyle w:val="FirstParagraph"/>
      </w:pPr>
      <w:r>
        <w:t xml:space="preserve">Si stima un primo modello con tutte le variabili teoricamente motivate.</w:t>
      </w:r>
    </w:p>
    <w:p>
      <w:pPr>
        <w:pStyle w:val="SourceCode"/>
      </w:pPr>
      <w:r>
        <w:br/>
      </w:r>
      <w:r>
        <w:rPr>
          <w:rStyle w:val="VerbatimChar"/>
        </w:rPr>
        <w:t xml:space="preserve">Call:</w:t>
      </w:r>
      <w:r>
        <w:br/>
      </w:r>
      <w:r>
        <w:rPr>
          <w:rStyle w:val="VerbatimChar"/>
        </w:rPr>
        <w:t xml:space="preserve">lm(formula = goal_difference ~ pre_match_ppg_positive + implied_probability_difference + </w:t>
      </w:r>
      <w:r>
        <w:br/>
      </w:r>
      <w:r>
        <w:rPr>
          <w:rStyle w:val="VerbatimChar"/>
        </w:rPr>
        <w:t xml:space="preserve">    knockout + same_confederation + players_age_difference + </w:t>
      </w:r>
      <w:r>
        <w:br/>
      </w:r>
      <w:r>
        <w:rPr>
          <w:rStyle w:val="VerbatimChar"/>
        </w:rPr>
        <w:t xml:space="preserve">    historical_success_difference + n_previous_meetings + h2h_goal_diff + </w:t>
      </w:r>
      <w:r>
        <w:br/>
      </w:r>
      <w:r>
        <w:rPr>
          <w:rStyle w:val="VerbatimChar"/>
        </w:rPr>
        <w:t xml:space="preserve">    h2h_win_rate, data = model_data2)</w:t>
      </w:r>
      <w:r>
        <w:br/>
      </w:r>
      <w:r>
        <w:br/>
      </w:r>
      <w:r>
        <w:rPr>
          <w:rStyle w:val="VerbatimChar"/>
        </w:rPr>
        <w:t xml:space="preserve">Residuals:</w:t>
      </w:r>
      <w:r>
        <w:br/>
      </w:r>
      <w:r>
        <w:rPr>
          <w:rStyle w:val="VerbatimChar"/>
        </w:rPr>
        <w:t xml:space="preserve">    Min      1Q  Median      3Q     Max </w:t>
      </w:r>
      <w:r>
        <w:br/>
      </w:r>
      <w:r>
        <w:rPr>
          <w:rStyle w:val="VerbatimChar"/>
        </w:rPr>
        <w:t xml:space="preserve">-3.0573 -0.8850 -0.0529  0.6687  4.8708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0.25719    0.32100   0.801  0.42651   </w:t>
      </w:r>
      <w:r>
        <w:br/>
      </w:r>
      <w:r>
        <w:rPr>
          <w:rStyle w:val="VerbatimChar"/>
        </w:rPr>
        <w:t xml:space="preserve">pre_match_ppg_positive         -0.58251    0.41324  -1.410  0.16439   </w:t>
      </w:r>
      <w:r>
        <w:br/>
      </w:r>
      <w:r>
        <w:rPr>
          <w:rStyle w:val="VerbatimChar"/>
        </w:rPr>
        <w:t xml:space="preserve">implied_probability_difference  0.75980    0.96401   0.788  0.43405   </w:t>
      </w:r>
      <w:r>
        <w:br/>
      </w:r>
      <w:r>
        <w:rPr>
          <w:rStyle w:val="VerbatimChar"/>
        </w:rPr>
        <w:t xml:space="preserve">knockout                        1.37170    0.48653   2.819  0.00671 **</w:t>
      </w:r>
      <w:r>
        <w:br/>
      </w:r>
      <w:r>
        <w:rPr>
          <w:rStyle w:val="VerbatimChar"/>
        </w:rPr>
        <w:t xml:space="preserve">same_confederation             -0.38144    0.62996  -0.605  0.54739   </w:t>
      </w:r>
      <w:r>
        <w:br/>
      </w:r>
      <w:r>
        <w:rPr>
          <w:rStyle w:val="VerbatimChar"/>
        </w:rPr>
        <w:t xml:space="preserve">players_age_difference         -0.33530    0.15920  -2.106  0.03986 * </w:t>
      </w:r>
      <w:r>
        <w:br/>
      </w:r>
      <w:r>
        <w:rPr>
          <w:rStyle w:val="VerbatimChar"/>
        </w:rPr>
        <w:t xml:space="preserve">historical_success_difference   0.44315    0.32409   1.367  0.17718   </w:t>
      </w:r>
      <w:r>
        <w:br/>
      </w:r>
      <w:r>
        <w:rPr>
          <w:rStyle w:val="VerbatimChar"/>
        </w:rPr>
        <w:t xml:space="preserve">n_previous_meetings            -0.08551    0.22819  -0.375  0.70933   </w:t>
      </w:r>
      <w:r>
        <w:br/>
      </w:r>
      <w:r>
        <w:rPr>
          <w:rStyle w:val="VerbatimChar"/>
        </w:rPr>
        <w:t xml:space="preserve">h2h_goal_diff                  -0.26630    0.17578  -1.515  0.13562   </w:t>
      </w:r>
      <w:r>
        <w:br/>
      </w:r>
      <w:r>
        <w:rPr>
          <w:rStyle w:val="VerbatimChar"/>
        </w:rPr>
        <w:t xml:space="preserve">h2h_win_rate                    0.65471    0.80378   0.815  0.41892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1.572 on 54 degrees of freedom</w:t>
      </w:r>
      <w:r>
        <w:br/>
      </w:r>
      <w:r>
        <w:rPr>
          <w:rStyle w:val="VerbatimChar"/>
        </w:rPr>
        <w:t xml:space="preserve">Multiple R-squared:  0.3874,    Adjusted R-squared:  0.2853 </w:t>
      </w:r>
      <w:r>
        <w:br/>
      </w:r>
      <w:r>
        <w:rPr>
          <w:rStyle w:val="VerbatimChar"/>
        </w:rPr>
        <w:t xml:space="preserve">F-statistic: 3.794 on 9 and 54 DF,  p-value: 0.0009256</w:t>
      </w:r>
    </w:p>
    <w:p>
      <w:pPr>
        <w:pStyle w:val="FirstParagraph"/>
      </w:pPr>
      <w:r>
        <w:t xml:space="preserve">Il modello con tutti e nove i predittori mostra un R² ragionevole, ma prima di interpretare i coefficienti è necessario verificare la presenza di multicollinearità, che potrebbe destabilizzare le stime.</w:t>
      </w:r>
    </w:p>
    <w:p>
      <w:pPr>
        <w:pStyle w:val="TableCaption"/>
      </w:pPr>
      <w:r>
        <w:t xml:space="preserve">VIF — Modello completo</w:t>
      </w:r>
    </w:p>
    <w:tbl>
      <w:tblPr>
        <w:tblStyle w:val="Table"/>
        <w:tblW w:type="auto" w:w="0"/>
        <w:tblLook w:firstRow="1" w:lastRow="0" w:firstColumn="0" w:lastColumn="0" w:noHBand="0" w:noVBand="0" w:val="0020"/>
        <w:tblCaption w:val="VIF — Modello completo"/>
      </w:tblPr>
      <w:tblGrid>
        <w:gridCol w:w="3960"/>
        <w:gridCol w:w="3960"/>
      </w:tblGrid>
      <w:tr>
        <w:trPr>
          <w:tblHeader w:val="on"/>
        </w:trPr>
        <w:tc>
          <w:tcPr/>
          <w:p>
            <w:pPr>
              <w:pStyle w:val="Compact"/>
            </w:pPr>
          </w:p>
        </w:tc>
        <w:tc>
          <w:tcPr/>
          <w:p>
            <w:pPr>
              <w:pStyle w:val="Compact"/>
              <w:jc w:val="right"/>
            </w:pPr>
            <w:r>
              <w:t xml:space="preserve">VIF</w:t>
            </w:r>
          </w:p>
        </w:tc>
      </w:tr>
      <w:tr>
        <w:tc>
          <w:tcPr/>
          <w:p>
            <w:pPr>
              <w:pStyle w:val="Compact"/>
              <w:jc w:val="left"/>
            </w:pPr>
            <w:r>
              <w:t xml:space="preserve">pre_match_ppg_positive</w:t>
            </w:r>
          </w:p>
        </w:tc>
        <w:tc>
          <w:tcPr/>
          <w:p>
            <w:pPr>
              <w:pStyle w:val="Compact"/>
              <w:jc w:val="right"/>
            </w:pPr>
            <w:r>
              <w:t xml:space="preserve">1.095</w:t>
            </w:r>
          </w:p>
        </w:tc>
      </w:tr>
      <w:tr>
        <w:tc>
          <w:tcPr/>
          <w:p>
            <w:pPr>
              <w:pStyle w:val="Compact"/>
              <w:jc w:val="left"/>
            </w:pPr>
            <w:r>
              <w:t xml:space="preserve">implied_probability_difference</w:t>
            </w:r>
          </w:p>
        </w:tc>
        <w:tc>
          <w:tcPr/>
          <w:p>
            <w:pPr>
              <w:pStyle w:val="Compact"/>
              <w:jc w:val="right"/>
            </w:pPr>
            <w:r>
              <w:t xml:space="preserve">4.191</w:t>
            </w:r>
          </w:p>
        </w:tc>
      </w:tr>
      <w:tr>
        <w:tc>
          <w:tcPr/>
          <w:p>
            <w:pPr>
              <w:pStyle w:val="Compact"/>
              <w:jc w:val="left"/>
            </w:pPr>
            <w:r>
              <w:t xml:space="preserve">knockout</w:t>
            </w:r>
          </w:p>
        </w:tc>
        <w:tc>
          <w:tcPr/>
          <w:p>
            <w:pPr>
              <w:pStyle w:val="Compact"/>
              <w:jc w:val="right"/>
            </w:pPr>
            <w:r>
              <w:t xml:space="preserve">1.149</w:t>
            </w:r>
          </w:p>
        </w:tc>
      </w:tr>
      <w:tr>
        <w:tc>
          <w:tcPr/>
          <w:p>
            <w:pPr>
              <w:pStyle w:val="Compact"/>
              <w:jc w:val="left"/>
            </w:pPr>
            <w:r>
              <w:t xml:space="preserve">same_confederation</w:t>
            </w:r>
          </w:p>
        </w:tc>
        <w:tc>
          <w:tcPr/>
          <w:p>
            <w:pPr>
              <w:pStyle w:val="Compact"/>
              <w:jc w:val="right"/>
            </w:pPr>
            <w:r>
              <w:t xml:space="preserve">1.124</w:t>
            </w:r>
          </w:p>
        </w:tc>
      </w:tr>
      <w:tr>
        <w:tc>
          <w:tcPr/>
          <w:p>
            <w:pPr>
              <w:pStyle w:val="Compact"/>
              <w:jc w:val="left"/>
            </w:pPr>
            <w:r>
              <w:t xml:space="preserve">players_age_difference</w:t>
            </w:r>
          </w:p>
        </w:tc>
        <w:tc>
          <w:tcPr/>
          <w:p>
            <w:pPr>
              <w:pStyle w:val="Compact"/>
              <w:jc w:val="right"/>
            </w:pPr>
            <w:r>
              <w:t xml:space="preserve">1.332</w:t>
            </w:r>
          </w:p>
        </w:tc>
      </w:tr>
      <w:tr>
        <w:tc>
          <w:tcPr/>
          <w:p>
            <w:pPr>
              <w:pStyle w:val="Compact"/>
              <w:jc w:val="left"/>
            </w:pPr>
            <w:r>
              <w:t xml:space="preserve">historical_success_difference</w:t>
            </w:r>
          </w:p>
        </w:tc>
        <w:tc>
          <w:tcPr/>
          <w:p>
            <w:pPr>
              <w:pStyle w:val="Compact"/>
              <w:jc w:val="right"/>
            </w:pPr>
            <w:r>
              <w:t xml:space="preserve">4.368</w:t>
            </w:r>
          </w:p>
        </w:tc>
      </w:tr>
      <w:tr>
        <w:tc>
          <w:tcPr/>
          <w:p>
            <w:pPr>
              <w:pStyle w:val="Compact"/>
              <w:jc w:val="left"/>
            </w:pPr>
            <w:r>
              <w:t xml:space="preserve">n_previous_meetings</w:t>
            </w:r>
          </w:p>
        </w:tc>
        <w:tc>
          <w:tcPr/>
          <w:p>
            <w:pPr>
              <w:pStyle w:val="Compact"/>
              <w:jc w:val="right"/>
            </w:pPr>
            <w:r>
              <w:t xml:space="preserve">1.680</w:t>
            </w:r>
          </w:p>
        </w:tc>
      </w:tr>
      <w:tr>
        <w:tc>
          <w:tcPr/>
          <w:p>
            <w:pPr>
              <w:pStyle w:val="Compact"/>
              <w:jc w:val="left"/>
            </w:pPr>
            <w:r>
              <w:t xml:space="preserve">h2h_goal_diff</w:t>
            </w:r>
          </w:p>
        </w:tc>
        <w:tc>
          <w:tcPr/>
          <w:p>
            <w:pPr>
              <w:pStyle w:val="Compact"/>
              <w:jc w:val="right"/>
            </w:pPr>
            <w:r>
              <w:t xml:space="preserve">1.762</w:t>
            </w:r>
          </w:p>
        </w:tc>
      </w:tr>
      <w:tr>
        <w:tc>
          <w:tcPr/>
          <w:p>
            <w:pPr>
              <w:pStyle w:val="Compact"/>
              <w:jc w:val="left"/>
            </w:pPr>
            <w:r>
              <w:t xml:space="preserve">h2h_win_rate</w:t>
            </w:r>
          </w:p>
        </w:tc>
        <w:tc>
          <w:tcPr/>
          <w:p>
            <w:pPr>
              <w:pStyle w:val="Compact"/>
              <w:jc w:val="right"/>
            </w:pPr>
            <w:r>
              <w:t xml:space="preserve">2.148</w:t>
            </w:r>
          </w:p>
        </w:tc>
      </w:tr>
    </w:tbl>
    <w:p>
      <w:pPr>
        <w:pStyle w:val="BodyText"/>
      </w:pPr>
      <w:r>
        <w:t xml:space="preserve">L’analisi del VIF segnala valori elevati per le tre variabili testa a testa</w:t>
      </w:r>
      <w:r>
        <w:t xml:space="preserve"> </w:t>
      </w:r>
      <w:r>
        <w:t xml:space="preserve">(</w:t>
      </w:r>
      <w:r>
        <w:rPr>
          <w:rStyle w:val="VerbatimChar"/>
        </w:rPr>
        <w:t xml:space="preserve">h2h_win_rate</w:t>
      </w:r>
      <w:r>
        <w:t xml:space="preserve">,</w:t>
      </w:r>
      <w:r>
        <w:t xml:space="preserve"> </w:t>
      </w:r>
      <w:r>
        <w:rPr>
          <w:rStyle w:val="VerbatimChar"/>
        </w:rPr>
        <w:t xml:space="preserve">h2h_goal_diff</w:t>
      </w:r>
      <w:r>
        <w:t xml:space="preserve">,</w:t>
      </w:r>
      <w:r>
        <w:t xml:space="preserve"> </w:t>
      </w:r>
      <w:r>
        <w:rPr>
          <w:rStyle w:val="VerbatimChar"/>
        </w:rPr>
        <w:t xml:space="preserve">n_previous_meetings</w:t>
      </w:r>
      <w:r>
        <w:t xml:space="preserve">), il che è atteso:</w:t>
      </w:r>
      <w:r>
        <w:t xml:space="preserve"> </w:t>
      </w:r>
      <w:r>
        <w:t xml:space="preserve">il numero di incontri precedenti, il bilancio gol e la percentuale di vittorie</w:t>
      </w:r>
      <w:r>
        <w:t xml:space="preserve"> </w:t>
      </w:r>
      <w:r>
        <w:t xml:space="preserve">misurano aspetti fortemente sovrapposti del medesimo fenomeno.</w:t>
      </w:r>
    </w:p>
    <w:p>
      <w:pPr>
        <w:pStyle w:val="BodyText"/>
      </w:pPr>
      <w:r>
        <w:t xml:space="preserve">Il</w:t>
      </w:r>
      <w:r>
        <w:t xml:space="preserve"> </w:t>
      </w:r>
      <w:r>
        <w:rPr>
          <w:b/>
          <w:bCs/>
        </w:rPr>
        <w:t xml:space="preserve">Variance Inflation Factor</w:t>
      </w:r>
      <w:r>
        <w:t xml:space="preserve"> </w:t>
      </w:r>
      <w:r>
        <w:t xml:space="preserve">quantifica di quanto la varianza dello stimatore</w:t>
      </w:r>
      <w:r>
        <w:t xml:space="preserve"> </w:t>
      </w:r>
      <w:r>
        <w:t xml:space="preserve">OLS per il</w:t>
      </w:r>
      <w:r>
        <w:t xml:space="preserve"> </w:t>
      </w:r>
      <m:oMath>
        <m:r>
          <m:t>j</m:t>
        </m:r>
      </m:oMath>
      <w:r>
        <w:t xml:space="preserve">-esimo coefficiente si gonfia a causa della collinearità con gli</w:t>
      </w:r>
      <w:r>
        <w:t xml:space="preserve"> </w:t>
      </w:r>
      <w:r>
        <w:t xml:space="preserve">altri predittori. Per il predittore</w:t>
      </w:r>
      <w:r>
        <w:t xml:space="preserve"> </w:t>
      </w:r>
      <m:oMath>
        <m:sSub>
          <m:e>
            <m:r>
              <m:t>x</m:t>
            </m:r>
          </m:e>
          <m:sub>
            <m:r>
              <m:t>j</m:t>
            </m:r>
          </m:sub>
        </m:sSub>
      </m:oMath>
      <w:r>
        <w:t xml:space="preserve"> </w:t>
      </w:r>
      <w:r>
        <w:t xml:space="preserve">è definito come</w:t>
      </w:r>
    </w:p>
    <w:p>
      <w:pPr>
        <w:pStyle w:val="BodyText"/>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pStyle w:val="FirstParagraph"/>
      </w:pPr>
      <w:r>
        <w:t xml:space="preserve">dove</w:t>
      </w:r>
      <w:r>
        <w:t xml:space="preserve"> </w:t>
      </w:r>
      <m:oMath>
        <m:sSubSup>
          <m:e>
            <m:r>
              <m:t>R</m:t>
            </m:r>
          </m:e>
          <m:sub>
            <m:r>
              <m:t>j</m:t>
            </m:r>
          </m:sub>
          <m:sup>
            <m:r>
              <m:t>2</m:t>
            </m:r>
          </m:sup>
        </m:sSubSup>
      </m:oMath>
      <w:r>
        <w:t xml:space="preserve"> </w:t>
      </w:r>
      <w:r>
        <w:t xml:space="preserve">è il coefficiente di determinazione della regressione di</w:t>
      </w:r>
      <w:r>
        <w:t xml:space="preserve"> </w:t>
      </w:r>
      <m:oMath>
        <m:sSub>
          <m:e>
            <m:r>
              <m:t>x</m:t>
            </m:r>
          </m:e>
          <m:sub>
            <m:r>
              <m:t>j</m:t>
            </m:r>
          </m:sub>
        </m:sSub>
      </m:oMath>
      <w:r>
        <w:t xml:space="preserve"> </w:t>
      </w:r>
      <w:r>
        <w:t xml:space="preserve">su tutti gli altri predittori. Un</w:t>
      </w:r>
      <w:r>
        <w:t xml:space="preserve"> </w:t>
      </w:r>
      <m:oMath>
        <m:sSub>
          <m:e>
            <m:r>
              <m:rPr>
                <m:nor/>
                <m:sty m:val="p"/>
              </m:rPr>
              <m:t>VIF</m:t>
            </m:r>
          </m:e>
          <m:sub>
            <m:r>
              <m:t>j</m:t>
            </m:r>
          </m:sub>
        </m:sSub>
        <m:r>
          <m:rPr>
            <m:sty m:val="p"/>
          </m:rPr>
          <m:t>=</m:t>
        </m:r>
        <m:r>
          <m:t>1</m:t>
        </m:r>
      </m:oMath>
      <w:r>
        <w:t xml:space="preserve"> </w:t>
      </w:r>
      <w:r>
        <w:t xml:space="preserve">indica assenza completa</w:t>
      </w:r>
      <w:r>
        <w:t xml:space="preserve"> </w:t>
      </w:r>
      <w:r>
        <w:t xml:space="preserve">di collinearità; valori superiori a 5–10 segnalano collinearità problematica</w:t>
      </w:r>
      <w:r>
        <w:t xml:space="preserve"> </w:t>
      </w:r>
      <w:r>
        <w:t xml:space="preserve">che destabilizza le stime e ne amplia gli intervalli di confidenza.</w:t>
      </w:r>
      <w:r>
        <w:t xml:space="preserve"> </w:t>
      </w:r>
      <w:r>
        <w:t xml:space="preserve">Come regola operativa si adotta la soglia conservativa</w:t>
      </w:r>
      <w:r>
        <w:t xml:space="preserve"> </w:t>
      </w:r>
      <m:oMath>
        <m:r>
          <m:rPr>
            <m:nor/>
            <m:sty m:val="p"/>
          </m:rPr>
          <m:t>VIF</m:t>
        </m:r>
        <m:r>
          <m:rPr>
            <m:sty m:val="p"/>
          </m:rPr>
          <m:t>&lt;</m:t>
        </m:r>
        <m:r>
          <m:t>5</m:t>
        </m:r>
      </m:oMath>
      <w:r>
        <w:t xml:space="preserve">.</w:t>
      </w:r>
    </w:p>
    <w:p>
      <w:pPr>
        <w:pStyle w:val="BodyText"/>
      </w:pPr>
      <w:r>
        <w:t xml:space="preserve">Si rimuovono</w:t>
      </w:r>
      <w:r>
        <w:t xml:space="preserve"> </w:t>
      </w:r>
      <w:r>
        <w:rPr>
          <w:rStyle w:val="VerbatimChar"/>
        </w:rPr>
        <w:t xml:space="preserve">h2h_win_rate</w:t>
      </w:r>
      <w:r>
        <w:t xml:space="preserve"> </w:t>
      </w:r>
      <w:r>
        <w:t xml:space="preserve">e</w:t>
      </w:r>
      <w:r>
        <w:t xml:space="preserve"> </w:t>
      </w:r>
      <w:r>
        <w:rPr>
          <w:rStyle w:val="VerbatimChar"/>
        </w:rPr>
        <w:t xml:space="preserve">historical_success_difference</w:t>
      </w:r>
      <w:r>
        <w:t xml:space="preserve"> </w:t>
      </w:r>
      <w:r>
        <w:t xml:space="preserve">(quest’ultima</w:t>
      </w:r>
      <w:r>
        <w:t xml:space="preserve"> </w:t>
      </w:r>
      <w:r>
        <w:t xml:space="preserve">già marginalmente irrilevante), mantenendo le misure con interpretazione più</w:t>
      </w:r>
      <w:r>
        <w:t xml:space="preserve"> </w:t>
      </w:r>
      <w:r>
        <w:t xml:space="preserve">diretta.</w:t>
      </w:r>
    </w:p>
    <w:bookmarkEnd w:id="25"/>
    <w:bookmarkStart w:id="26" w:name="riduzione-per-multicollinearità"/>
    <w:p>
      <w:pPr>
        <w:pStyle w:val="Heading2"/>
      </w:pPr>
      <w:r>
        <w:t xml:space="preserve">3.3 Riduzione per multicollinearità</w:t>
      </w:r>
    </w:p>
    <w:p>
      <w:pPr>
        <w:pStyle w:val="SourceCode"/>
      </w:pPr>
      <w:r>
        <w:br/>
      </w:r>
      <w:r>
        <w:rPr>
          <w:rStyle w:val="VerbatimChar"/>
        </w:rPr>
        <w:t xml:space="preserve">Call:</w:t>
      </w:r>
      <w:r>
        <w:br/>
      </w:r>
      <w:r>
        <w:rPr>
          <w:rStyle w:val="VerbatimChar"/>
        </w:rPr>
        <w:t xml:space="preserve">lm(formula = goal_difference ~ pre_match_ppg_positive + implied_probability_difference + </w:t>
      </w:r>
      <w:r>
        <w:br/>
      </w:r>
      <w:r>
        <w:rPr>
          <w:rStyle w:val="VerbatimChar"/>
        </w:rPr>
        <w:t xml:space="preserve">    knockout + same_confederation + players_age_difference + </w:t>
      </w:r>
      <w:r>
        <w:br/>
      </w:r>
      <w:r>
        <w:rPr>
          <w:rStyle w:val="VerbatimChar"/>
        </w:rPr>
        <w:t xml:space="preserve">    n_previous_meetings + h2h_goal_diff, data = model_data2)</w:t>
      </w:r>
      <w:r>
        <w:br/>
      </w:r>
      <w:r>
        <w:br/>
      </w:r>
      <w:r>
        <w:rPr>
          <w:rStyle w:val="VerbatimChar"/>
        </w:rPr>
        <w:t xml:space="preserve">Residuals:</w:t>
      </w:r>
      <w:r>
        <w:br/>
      </w:r>
      <w:r>
        <w:rPr>
          <w:rStyle w:val="VerbatimChar"/>
        </w:rPr>
        <w:t xml:space="preserve">    Min      1Q  Median      3Q     Max </w:t>
      </w:r>
      <w:r>
        <w:br/>
      </w:r>
      <w:r>
        <w:rPr>
          <w:rStyle w:val="VerbatimChar"/>
        </w:rPr>
        <w:t xml:space="preserve">-2.6569 -1.0174 -0.2823  0.9046  4.7052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0.35621    0.31168   1.143 0.257957    </w:t>
      </w:r>
      <w:r>
        <w:br/>
      </w:r>
      <w:r>
        <w:rPr>
          <w:rStyle w:val="VerbatimChar"/>
        </w:rPr>
        <w:t xml:space="preserve">pre_match_ppg_positive         -0.62478    0.41338  -1.511 0.136313    </w:t>
      </w:r>
      <w:r>
        <w:br/>
      </w:r>
      <w:r>
        <w:rPr>
          <w:rStyle w:val="VerbatimChar"/>
        </w:rPr>
        <w:t xml:space="preserve">implied_probability_difference  1.92190    0.51151   3.757 0.000411 ***</w:t>
      </w:r>
      <w:r>
        <w:br/>
      </w:r>
      <w:r>
        <w:rPr>
          <w:rStyle w:val="VerbatimChar"/>
        </w:rPr>
        <w:t xml:space="preserve">knockout                        1.31497    0.48105   2.734 0.008371 ** </w:t>
      </w:r>
      <w:r>
        <w:br/>
      </w:r>
      <w:r>
        <w:rPr>
          <w:rStyle w:val="VerbatimChar"/>
        </w:rPr>
        <w:t xml:space="preserve">same_confederation             -0.37033    0.63235  -0.586 0.560467    </w:t>
      </w:r>
      <w:r>
        <w:br/>
      </w:r>
      <w:r>
        <w:rPr>
          <w:rStyle w:val="VerbatimChar"/>
        </w:rPr>
        <w:t xml:space="preserve">players_age_difference         -0.24766    0.14886  -1.664 0.101750    </w:t>
      </w:r>
      <w:r>
        <w:br/>
      </w:r>
      <w:r>
        <w:rPr>
          <w:rStyle w:val="VerbatimChar"/>
        </w:rPr>
        <w:t xml:space="preserve">n_previous_meetings            -0.01159    0.19199  -0.060 0.952087    </w:t>
      </w:r>
      <w:r>
        <w:br/>
      </w:r>
      <w:r>
        <w:rPr>
          <w:rStyle w:val="VerbatimChar"/>
        </w:rPr>
        <w:t xml:space="preserve">h2h_goal_diff                  -0.12136    0.13903  -0.873 0.386416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1.579 on 56 degrees of freedom</w:t>
      </w:r>
      <w:r>
        <w:br/>
      </w:r>
      <w:r>
        <w:rPr>
          <w:rStyle w:val="VerbatimChar"/>
        </w:rPr>
        <w:t xml:space="preserve">Multiple R-squared:  0.3596,    Adjusted R-squared:  0.2796 </w:t>
      </w:r>
      <w:r>
        <w:br/>
      </w:r>
      <w:r>
        <w:rPr>
          <w:rStyle w:val="VerbatimChar"/>
        </w:rPr>
        <w:t xml:space="preserve">F-statistic: 4.493 on 7 and 56 DF,  p-value: 0.0004999</w:t>
      </w:r>
    </w:p>
    <w:p>
      <w:pPr>
        <w:pStyle w:val="TableCaption"/>
      </w:pPr>
      <w:r>
        <w:t xml:space="preserve">VIF — Modello ridotto dopo rimozione collineari</w:t>
      </w:r>
    </w:p>
    <w:tbl>
      <w:tblPr>
        <w:tblStyle w:val="Table"/>
        <w:tblW w:type="auto" w:w="0"/>
        <w:tblLook w:firstRow="1" w:lastRow="0" w:firstColumn="0" w:lastColumn="0" w:noHBand="0" w:noVBand="0" w:val="0020"/>
        <w:tblCaption w:val="VIF — Modello ridotto dopo rimozione collineari"/>
      </w:tblPr>
      <w:tblGrid>
        <w:gridCol w:w="3960"/>
        <w:gridCol w:w="3960"/>
      </w:tblGrid>
      <w:tr>
        <w:trPr>
          <w:tblHeader w:val="on"/>
        </w:trPr>
        <w:tc>
          <w:tcPr/>
          <w:p>
            <w:pPr>
              <w:pStyle w:val="Compact"/>
            </w:pPr>
          </w:p>
        </w:tc>
        <w:tc>
          <w:tcPr/>
          <w:p>
            <w:pPr>
              <w:pStyle w:val="Compact"/>
              <w:jc w:val="right"/>
            </w:pPr>
            <w:r>
              <w:t xml:space="preserve">vif(modello_corretto2)</w:t>
            </w:r>
          </w:p>
        </w:tc>
      </w:tr>
      <w:tr>
        <w:tc>
          <w:tcPr/>
          <w:p>
            <w:pPr>
              <w:pStyle w:val="Compact"/>
              <w:jc w:val="left"/>
            </w:pPr>
            <w:r>
              <w:t xml:space="preserve">pre_match_ppg_positive</w:t>
            </w:r>
          </w:p>
        </w:tc>
        <w:tc>
          <w:tcPr/>
          <w:p>
            <w:pPr>
              <w:pStyle w:val="Compact"/>
              <w:jc w:val="right"/>
            </w:pPr>
            <w:r>
              <w:t xml:space="preserve">1.087</w:t>
            </w:r>
          </w:p>
        </w:tc>
      </w:tr>
      <w:tr>
        <w:tc>
          <w:tcPr/>
          <w:p>
            <w:pPr>
              <w:pStyle w:val="Compact"/>
              <w:jc w:val="left"/>
            </w:pPr>
            <w:r>
              <w:t xml:space="preserve">implied_probability_difference</w:t>
            </w:r>
          </w:p>
        </w:tc>
        <w:tc>
          <w:tcPr/>
          <w:p>
            <w:pPr>
              <w:pStyle w:val="Compact"/>
              <w:jc w:val="right"/>
            </w:pPr>
            <w:r>
              <w:t xml:space="preserve">1.171</w:t>
            </w:r>
          </w:p>
        </w:tc>
      </w:tr>
      <w:tr>
        <w:tc>
          <w:tcPr/>
          <w:p>
            <w:pPr>
              <w:pStyle w:val="Compact"/>
              <w:jc w:val="left"/>
            </w:pPr>
            <w:r>
              <w:t xml:space="preserve">knockout</w:t>
            </w:r>
          </w:p>
        </w:tc>
        <w:tc>
          <w:tcPr/>
          <w:p>
            <w:pPr>
              <w:pStyle w:val="Compact"/>
              <w:jc w:val="right"/>
            </w:pPr>
            <w:r>
              <w:t xml:space="preserve">1.114</w:t>
            </w:r>
          </w:p>
        </w:tc>
      </w:tr>
      <w:tr>
        <w:tc>
          <w:tcPr/>
          <w:p>
            <w:pPr>
              <w:pStyle w:val="Compact"/>
              <w:jc w:val="left"/>
            </w:pPr>
            <w:r>
              <w:t xml:space="preserve">same_confederation</w:t>
            </w:r>
          </w:p>
        </w:tc>
        <w:tc>
          <w:tcPr/>
          <w:p>
            <w:pPr>
              <w:pStyle w:val="Compact"/>
              <w:jc w:val="right"/>
            </w:pPr>
            <w:r>
              <w:t xml:space="preserve">1.123</w:t>
            </w:r>
          </w:p>
        </w:tc>
      </w:tr>
      <w:tr>
        <w:tc>
          <w:tcPr/>
          <w:p>
            <w:pPr>
              <w:pStyle w:val="Compact"/>
              <w:jc w:val="left"/>
            </w:pPr>
            <w:r>
              <w:t xml:space="preserve">players_age_difference</w:t>
            </w:r>
          </w:p>
        </w:tc>
        <w:tc>
          <w:tcPr/>
          <w:p>
            <w:pPr>
              <w:pStyle w:val="Compact"/>
              <w:jc w:val="right"/>
            </w:pPr>
            <w:r>
              <w:t xml:space="preserve">1.155</w:t>
            </w:r>
          </w:p>
        </w:tc>
      </w:tr>
      <w:tr>
        <w:tc>
          <w:tcPr/>
          <w:p>
            <w:pPr>
              <w:pStyle w:val="Compact"/>
              <w:jc w:val="left"/>
            </w:pPr>
            <w:r>
              <w:t xml:space="preserve">n_previous_meetings</w:t>
            </w:r>
          </w:p>
        </w:tc>
        <w:tc>
          <w:tcPr/>
          <w:p>
            <w:pPr>
              <w:pStyle w:val="Compact"/>
              <w:jc w:val="right"/>
            </w:pPr>
            <w:r>
              <w:t xml:space="preserve">1.180</w:t>
            </w:r>
          </w:p>
        </w:tc>
      </w:tr>
      <w:tr>
        <w:tc>
          <w:tcPr/>
          <w:p>
            <w:pPr>
              <w:pStyle w:val="Compact"/>
              <w:jc w:val="left"/>
            </w:pPr>
            <w:r>
              <w:t xml:space="preserve">h2h_goal_diff</w:t>
            </w:r>
          </w:p>
        </w:tc>
        <w:tc>
          <w:tcPr/>
          <w:p>
            <w:pPr>
              <w:pStyle w:val="Compact"/>
              <w:jc w:val="right"/>
            </w:pPr>
            <w:r>
              <w:t xml:space="preserve">1.093</w:t>
            </w:r>
          </w:p>
        </w:tc>
      </w:tr>
    </w:tbl>
    <w:p>
      <w:pPr>
        <w:pStyle w:val="BodyText"/>
      </w:pPr>
      <w:r>
        <w:t xml:space="preserve">Con la rimozione delle variabili ridondanti i VIF scendono a valori accettabili (tutti &lt; 4). Il modello a sette predittori è ora una base solida per la selezione automatica.</w:t>
      </w:r>
    </w:p>
    <w:bookmarkEnd w:id="26"/>
    <w:bookmarkStart w:id="27" w:name="backward-elimination-automatica"/>
    <w:p>
      <w:pPr>
        <w:pStyle w:val="Heading2"/>
      </w:pPr>
      <w:r>
        <w:t xml:space="preserve">3.4 Backward elimination automatica</w:t>
      </w:r>
    </w:p>
    <w:p>
      <w:pPr>
        <w:pStyle w:val="FirstParagraph"/>
      </w:pPr>
      <w:r>
        <w:t xml:space="preserve">Si applica una procedura di backward elimination step-by-step: a ogni iterazione si rimuove la variabile con p-value più alto (test F parziale), se superiore alla soglia del 5%. Il processo si arresta quando tutte le variabili residue risultano significative.</w:t>
      </w:r>
    </w:p>
    <w:p>
      <w:pPr>
        <w:pStyle w:val="TableCaption"/>
      </w:pPr>
      <w:r>
        <w:t xml:space="preserve">Passi della backward elimination</w:t>
      </w:r>
    </w:p>
    <w:tbl>
      <w:tblPr>
        <w:tblStyle w:val="Table"/>
        <w:tblW w:type="auto" w:w="0"/>
        <w:tblLook w:firstRow="1" w:lastRow="0" w:firstColumn="0" w:lastColumn="0" w:noHBand="0" w:noVBand="0" w:val="0020"/>
        <w:tblCaption w:val="Passi della backward elimination"/>
      </w:tblPr>
      <w:tblGrid>
        <w:gridCol w:w="1980"/>
        <w:gridCol w:w="1980"/>
        <w:gridCol w:w="1980"/>
        <w:gridCol w:w="1980"/>
      </w:tblGrid>
      <w:tr>
        <w:trPr>
          <w:tblHeader w:val="on"/>
        </w:trPr>
        <w:tc>
          <w:tcPr/>
          <w:p>
            <w:pPr>
              <w:pStyle w:val="Compact"/>
              <w:jc w:val="center"/>
            </w:pPr>
            <w:r>
              <w:t xml:space="preserve">Step</w:t>
            </w:r>
          </w:p>
        </w:tc>
        <w:tc>
          <w:tcPr/>
          <w:p>
            <w:pPr>
              <w:pStyle w:val="Compact"/>
              <w:jc w:val="left"/>
            </w:pPr>
            <w:r>
              <w:t xml:space="preserve">Variabile rimossa</w:t>
            </w:r>
          </w:p>
        </w:tc>
        <w:tc>
          <w:tcPr/>
          <w:p>
            <w:pPr>
              <w:pStyle w:val="Compact"/>
              <w:jc w:val="center"/>
            </w:pPr>
            <w:r>
              <w:t xml:space="preserve">R² adj prima</w:t>
            </w:r>
          </w:p>
        </w:tc>
        <w:tc>
          <w:tcPr/>
          <w:p>
            <w:pPr>
              <w:pStyle w:val="Compact"/>
              <w:jc w:val="center"/>
            </w:pPr>
            <w:r>
              <w:t xml:space="preserve">R² adj dopo</w:t>
            </w:r>
          </w:p>
        </w:tc>
      </w:tr>
      <w:tr>
        <w:tc>
          <w:tcPr/>
          <w:p>
            <w:pPr>
              <w:pStyle w:val="Compact"/>
              <w:jc w:val="center"/>
            </w:pPr>
            <w:r>
              <w:t xml:space="preserve">1</w:t>
            </w:r>
          </w:p>
        </w:tc>
        <w:tc>
          <w:tcPr/>
          <w:p>
            <w:pPr>
              <w:pStyle w:val="Compact"/>
              <w:jc w:val="left"/>
            </w:pPr>
            <w:r>
              <w:t xml:space="preserve">n_previous_meetings</w:t>
            </w:r>
          </w:p>
        </w:tc>
        <w:tc>
          <w:tcPr/>
          <w:p>
            <w:pPr>
              <w:pStyle w:val="Compact"/>
              <w:jc w:val="center"/>
            </w:pPr>
            <w:r>
              <w:t xml:space="preserve">0.2796</w:t>
            </w:r>
          </w:p>
        </w:tc>
        <w:tc>
          <w:tcPr/>
          <w:p>
            <w:pPr>
              <w:pStyle w:val="Compact"/>
              <w:jc w:val="center"/>
            </w:pPr>
            <w:r>
              <w:t xml:space="preserve">0.2922</w:t>
            </w:r>
          </w:p>
        </w:tc>
      </w:tr>
      <w:tr>
        <w:tc>
          <w:tcPr/>
          <w:p>
            <w:pPr>
              <w:pStyle w:val="Compact"/>
              <w:jc w:val="center"/>
            </w:pPr>
            <w:r>
              <w:t xml:space="preserve">2</w:t>
            </w:r>
          </w:p>
        </w:tc>
        <w:tc>
          <w:tcPr/>
          <w:p>
            <w:pPr>
              <w:pStyle w:val="Compact"/>
              <w:jc w:val="left"/>
            </w:pPr>
            <w:r>
              <w:t xml:space="preserve">same_confederation</w:t>
            </w:r>
          </w:p>
        </w:tc>
        <w:tc>
          <w:tcPr/>
          <w:p>
            <w:pPr>
              <w:pStyle w:val="Compact"/>
              <w:jc w:val="center"/>
            </w:pPr>
            <w:r>
              <w:t xml:space="preserve">0.2922</w:t>
            </w:r>
          </w:p>
        </w:tc>
        <w:tc>
          <w:tcPr/>
          <w:p>
            <w:pPr>
              <w:pStyle w:val="Compact"/>
              <w:jc w:val="center"/>
            </w:pPr>
            <w:r>
              <w:t xml:space="preserve">0.2999</w:t>
            </w:r>
          </w:p>
        </w:tc>
      </w:tr>
      <w:tr>
        <w:tc>
          <w:tcPr/>
          <w:p>
            <w:pPr>
              <w:pStyle w:val="Compact"/>
              <w:jc w:val="center"/>
            </w:pPr>
            <w:r>
              <w:t xml:space="preserve">3</w:t>
            </w:r>
          </w:p>
        </w:tc>
        <w:tc>
          <w:tcPr/>
          <w:p>
            <w:pPr>
              <w:pStyle w:val="Compact"/>
              <w:jc w:val="left"/>
            </w:pPr>
            <w:r>
              <w:t xml:space="preserve">h2h_goal_diff</w:t>
            </w:r>
          </w:p>
        </w:tc>
        <w:tc>
          <w:tcPr/>
          <w:p>
            <w:pPr>
              <w:pStyle w:val="Compact"/>
              <w:jc w:val="center"/>
            </w:pPr>
            <w:r>
              <w:t xml:space="preserve">0.2999</w:t>
            </w:r>
          </w:p>
        </w:tc>
        <w:tc>
          <w:tcPr/>
          <w:p>
            <w:pPr>
              <w:pStyle w:val="Compact"/>
              <w:jc w:val="center"/>
            </w:pPr>
            <w:r>
              <w:t xml:space="preserve">0.3018</w:t>
            </w:r>
          </w:p>
        </w:tc>
      </w:tr>
    </w:tbl>
    <w:p>
      <w:pPr>
        <w:pStyle w:val="BodyText"/>
      </w:pPr>
      <w:r>
        <w:t xml:space="preserve">La backward elimination, condotta massimizzando l’R² aggiustato ad ogni passo, ha portato all’eliminazione di tre variabili dal modello completo.</w:t>
      </w:r>
      <w:r>
        <w:t xml:space="preserve"> </w:t>
      </w:r>
      <w:r>
        <w:t xml:space="preserve">Nel primo step viene rimossa</w:t>
      </w:r>
      <w:r>
        <w:t xml:space="preserve"> </w:t>
      </w:r>
      <w:r>
        <w:rPr>
          <w:rStyle w:val="VerbatimChar"/>
        </w:rPr>
        <w:t xml:space="preserve">n_previous_meetings</w:t>
      </w:r>
      <w:r>
        <w:t xml:space="preserve">, il cui allontanamento fa aumentare l’R² adj da 0.2796 a 0.2922, indicando che la variabile contribuiva negativamente alla capacità esplicativa del modello una volta tenuto conto della sua complessità. Nel secondo step viene esclusa</w:t>
      </w:r>
      <w:r>
        <w:t xml:space="preserve"> </w:t>
      </w:r>
      <w:r>
        <w:rPr>
          <w:rStyle w:val="VerbatimChar"/>
        </w:rPr>
        <w:t xml:space="preserve">same_confederation</w:t>
      </w:r>
      <w:r>
        <w:t xml:space="preserve">, con un ulteriore miglioramento da 0.2922 a 0.2999. Infine, al terzo step, l’eliminazione di</w:t>
      </w:r>
      <w:r>
        <w:t xml:space="preserve"> </w:t>
      </w:r>
      <w:r>
        <w:rPr>
          <w:rStyle w:val="VerbatimChar"/>
        </w:rPr>
        <w:t xml:space="preserve">h2h_goal_diff</w:t>
      </w:r>
      <w:r>
        <w:t xml:space="preserve"> </w:t>
      </w:r>
      <w:r>
        <w:t xml:space="preserve">porta l’R² aggiustato al valore finale di 0.3018.</w:t>
      </w:r>
      <w:r>
        <w:t xml:space="preserve"> </w:t>
      </w:r>
      <w:r>
        <w:t xml:space="preserve">Il processo si arresta qui perché la rimozione di qualsiasi altra variabile residua comporterebbe una riduzione dell’R² aggiustato, segnalando che le variabili mantenute contribuiscono genuinamente al potere esplicativo del modello.</w:t>
      </w:r>
    </w:p>
    <w:p>
      <w:pPr>
        <w:pStyle w:val="SourceCode"/>
      </w:pPr>
      <w:r>
        <w:rPr>
          <w:rStyle w:val="VerbatimChar"/>
        </w:rPr>
        <w:t xml:space="preserve">Formula del modello risultante dalla backward elimination:</w:t>
      </w:r>
    </w:p>
    <w:p>
      <w:pPr>
        <w:pStyle w:val="SourceCode"/>
      </w:pPr>
      <w:r>
        <w:rPr>
          <w:rStyle w:val="VerbatimChar"/>
        </w:rPr>
        <w:t xml:space="preserve">goal_difference ~ pre_match_ppg_positive + implied_probability_difference + </w:t>
      </w:r>
      <w:r>
        <w:br/>
      </w:r>
      <w:r>
        <w:rPr>
          <w:rStyle w:val="VerbatimChar"/>
        </w:rPr>
        <w:t xml:space="preserve">    knockout + players_age_difference</w:t>
      </w:r>
    </w:p>
    <w:p>
      <w:pPr>
        <w:pStyle w:val="SourceCode"/>
      </w:pPr>
      <w:r>
        <w:br/>
      </w:r>
      <w:r>
        <w:rPr>
          <w:rStyle w:val="VerbatimChar"/>
        </w:rPr>
        <w:t xml:space="preserve">Call:</w:t>
      </w:r>
      <w:r>
        <w:br/>
      </w:r>
      <w:r>
        <w:rPr>
          <w:rStyle w:val="VerbatimChar"/>
        </w:rPr>
        <w:t xml:space="preserve">lm(formula = goal_difference ~ pre_match_ppg_positive + implied_probability_difference + </w:t>
      </w:r>
      <w:r>
        <w:br/>
      </w:r>
      <w:r>
        <w:rPr>
          <w:rStyle w:val="VerbatimChar"/>
        </w:rPr>
        <w:t xml:space="preserve">    knockout + players_age_difference, data = model_data2)</w:t>
      </w:r>
      <w:r>
        <w:br/>
      </w:r>
      <w:r>
        <w:br/>
      </w:r>
      <w:r>
        <w:rPr>
          <w:rStyle w:val="VerbatimChar"/>
        </w:rPr>
        <w:t xml:space="preserve">Residuals:</w:t>
      </w:r>
      <w:r>
        <w:br/>
      </w:r>
      <w:r>
        <w:rPr>
          <w:rStyle w:val="VerbatimChar"/>
        </w:rPr>
        <w:t xml:space="preserve">    Min      1Q  Median      3Q     Max </w:t>
      </w:r>
      <w:r>
        <w:br/>
      </w:r>
      <w:r>
        <w:rPr>
          <w:rStyle w:val="VerbatimChar"/>
        </w:rPr>
        <w:t xml:space="preserve">-2.7013 -0.9896 -0.2059  0.8338  4.8479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0.3159     0.2810   1.124 0.265469    </w:t>
      </w:r>
      <w:r>
        <w:br/>
      </w:r>
      <w:r>
        <w:rPr>
          <w:rStyle w:val="VerbatimChar"/>
        </w:rPr>
        <w:t xml:space="preserve">pre_match_ppg_positive          -0.6294     0.4023  -1.564 0.123095    </w:t>
      </w:r>
      <w:r>
        <w:br/>
      </w:r>
      <w:r>
        <w:rPr>
          <w:rStyle w:val="VerbatimChar"/>
        </w:rPr>
        <w:t xml:space="preserve">implied_probability_difference   1.8576     0.4786   3.881 0.000264 ***</w:t>
      </w:r>
      <w:r>
        <w:br/>
      </w:r>
      <w:r>
        <w:rPr>
          <w:rStyle w:val="VerbatimChar"/>
        </w:rPr>
        <w:t xml:space="preserve">knockout                         1.2622     0.4604   2.741 0.008084 ** </w:t>
      </w:r>
      <w:r>
        <w:br/>
      </w:r>
      <w:r>
        <w:rPr>
          <w:rStyle w:val="VerbatimChar"/>
        </w:rPr>
        <w:t xml:space="preserve">players_age_difference          -0.2250     0.1406  -1.600 0.115003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1.554 on 59 degrees of freedom</w:t>
      </w:r>
      <w:r>
        <w:br/>
      </w:r>
      <w:r>
        <w:rPr>
          <w:rStyle w:val="VerbatimChar"/>
        </w:rPr>
        <w:t xml:space="preserve">Multiple R-squared:  0.3461,    Adjusted R-squared:  0.3018 </w:t>
      </w:r>
      <w:r>
        <w:br/>
      </w:r>
      <w:r>
        <w:rPr>
          <w:rStyle w:val="VerbatimChar"/>
        </w:rPr>
        <w:t xml:space="preserve">F-statistic: 7.808 on 4 and 59 DF,  p-value: 4.041e-05</w:t>
      </w:r>
    </w:p>
    <w:p>
      <w:pPr>
        <w:pStyle w:val="FirstParagraph"/>
      </w:pPr>
      <w:r>
        <w:t xml:space="preserve">La backward elimination rimuove sistematicamente le variabili testa a testa e la componente contestuale della confederazione, confermando che — una volta tenuto conto della forza relativa misurata dalle probabilità implicite — la storia pregressa tra le due squadre e l’appartenenza alla stessa confederazione non aggiungono potere esplicativo rilevante.</w:t>
      </w:r>
    </w:p>
    <w:bookmarkEnd w:id="27"/>
    <w:bookmarkStart w:id="28" w:name="X22dc6533d5b5a7f39e58887379da06d10cad334"/>
    <w:p>
      <w:pPr>
        <w:pStyle w:val="Heading2"/>
      </w:pPr>
      <w:r>
        <w:t xml:space="preserve">3.5 Confronto tra il modello backward e il modello di base</w:t>
      </w:r>
    </w:p>
    <w:p>
      <w:pPr>
        <w:pStyle w:val="FirstParagraph"/>
      </w:pPr>
      <w:r>
        <w:t xml:space="preserve">La backward elimination produce un modello con predittori aggiuntivi rispetto al modello di base (</w:t>
      </w:r>
      <w:r>
        <w:rPr>
          <w:rStyle w:val="VerbatimChar"/>
        </w:rPr>
        <w:t xml:space="preserve">pre_match_ppg_positive</w:t>
      </w:r>
      <w:r>
        <w:t xml:space="preserve">,</w:t>
      </w:r>
      <w:r>
        <w:t xml:space="preserve"> </w:t>
      </w:r>
      <w:r>
        <w:rPr>
          <w:rStyle w:val="VerbatimChar"/>
        </w:rPr>
        <w:t xml:space="preserve">implied_probability_difference</w:t>
      </w:r>
      <w:r>
        <w:t xml:space="preserve">,</w:t>
      </w:r>
      <w:r>
        <w:t xml:space="preserve"> </w:t>
      </w:r>
      <w:r>
        <w:rPr>
          <w:rStyle w:val="VerbatimChar"/>
        </w:rPr>
        <w:t xml:space="preserve">knockout</w:t>
      </w:r>
      <w:r>
        <w:t xml:space="preserve">), raggiungendo un R² aggiustato di 0.3018 contro 0.2837. Per valutare se questo guadagno giustifica la maggiore complessità, si ricorre a un confronto formale tramite test F gerarchico — possibile poiché il modello base è annidato in quello backward — e ai criteri informativi AIC e BIC.</w:t>
      </w:r>
    </w:p>
    <w:tbl>
      <w:tblPr>
        <w:tblStyle w:val="Table"/>
        <w:tblW w:type="pct" w:w="5000"/>
        <w:tblLayout w:type="fixed"/>
        <w:tblLook w:firstRow="1" w:lastRow="0" w:firstColumn="0" w:lastColumn="0" w:noHBand="0" w:noVBand="0" w:val="0020"/>
      </w:tblPr>
      <w:tblGrid>
        <w:gridCol w:w="4706"/>
        <w:gridCol w:w="803"/>
        <w:gridCol w:w="803"/>
        <w:gridCol w:w="803"/>
        <w:gridCol w:w="803"/>
      </w:tblGrid>
      <w:tr>
        <w:trPr>
          <w:tblHeader w:val="on"/>
        </w:trPr>
        <w:tc>
          <w:tcPr/>
          <w:p>
            <w:pPr>
              <w:pStyle w:val="Compact"/>
              <w:jc w:val="left"/>
            </w:pPr>
            <w:r>
              <w:t xml:space="preserve">Modello</w:t>
            </w:r>
          </w:p>
        </w:tc>
        <w:tc>
          <w:tcPr/>
          <w:p>
            <w:pPr>
              <w:pStyle w:val="Compact"/>
              <w:jc w:val="right"/>
            </w:pPr>
            <w:r>
              <w:t xml:space="preserve">R2</w:t>
            </w:r>
          </w:p>
        </w:tc>
        <w:tc>
          <w:tcPr/>
          <w:p>
            <w:pPr>
              <w:pStyle w:val="Compact"/>
              <w:jc w:val="right"/>
            </w:pPr>
            <w:r>
              <w:t xml:space="preserve">R2_adj</w:t>
            </w:r>
          </w:p>
        </w:tc>
        <w:tc>
          <w:tcPr/>
          <w:p>
            <w:pPr>
              <w:pStyle w:val="Compact"/>
              <w:jc w:val="right"/>
            </w:pPr>
            <w:r>
              <w:t xml:space="preserve">AIC</w:t>
            </w:r>
          </w:p>
        </w:tc>
        <w:tc>
          <w:tcPr/>
          <w:p>
            <w:pPr>
              <w:pStyle w:val="Compact"/>
              <w:jc w:val="right"/>
            </w:pPr>
            <w:r>
              <w:t xml:space="preserve">BIC</w:t>
            </w:r>
          </w:p>
        </w:tc>
      </w:tr>
      <w:tr>
        <w:tc>
          <w:tcPr/>
          <w:p>
            <w:pPr>
              <w:pStyle w:val="Compact"/>
              <w:jc w:val="left"/>
            </w:pPr>
            <w:r>
              <w:t xml:space="preserve">Base (ppg_bin + implied_prob + knockout)</w:t>
            </w:r>
          </w:p>
        </w:tc>
        <w:tc>
          <w:tcPr/>
          <w:p>
            <w:pPr>
              <w:pStyle w:val="Compact"/>
              <w:jc w:val="right"/>
            </w:pPr>
            <w:r>
              <w:t xml:space="preserve">0.3178</w:t>
            </w:r>
          </w:p>
        </w:tc>
        <w:tc>
          <w:tcPr/>
          <w:p>
            <w:pPr>
              <w:pStyle w:val="Compact"/>
              <w:jc w:val="right"/>
            </w:pPr>
            <w:r>
              <w:t xml:space="preserve">0.2837</w:t>
            </w:r>
          </w:p>
        </w:tc>
        <w:tc>
          <w:tcPr/>
          <w:p>
            <w:pPr>
              <w:pStyle w:val="Compact"/>
              <w:jc w:val="right"/>
            </w:pPr>
            <w:r>
              <w:t xml:space="preserve">245.57</w:t>
            </w:r>
          </w:p>
        </w:tc>
        <w:tc>
          <w:tcPr/>
          <w:p>
            <w:pPr>
              <w:pStyle w:val="Compact"/>
              <w:jc w:val="right"/>
            </w:pPr>
            <w:r>
              <w:t xml:space="preserve">256.37</w:t>
            </w:r>
          </w:p>
        </w:tc>
      </w:tr>
      <w:tr>
        <w:tc>
          <w:tcPr/>
          <w:p>
            <w:pPr>
              <w:pStyle w:val="Compact"/>
              <w:jc w:val="left"/>
            </w:pPr>
            <w:r>
              <w:t xml:space="preserve">Backward (modello risultante)</w:t>
            </w:r>
          </w:p>
        </w:tc>
        <w:tc>
          <w:tcPr/>
          <w:p>
            <w:pPr>
              <w:pStyle w:val="Compact"/>
              <w:jc w:val="right"/>
            </w:pPr>
            <w:r>
              <w:t xml:space="preserve">0.3461</w:t>
            </w:r>
          </w:p>
        </w:tc>
        <w:tc>
          <w:tcPr/>
          <w:p>
            <w:pPr>
              <w:pStyle w:val="Compact"/>
              <w:jc w:val="right"/>
            </w:pPr>
            <w:r>
              <w:t xml:space="preserve">0.3018</w:t>
            </w:r>
          </w:p>
        </w:tc>
        <w:tc>
          <w:tcPr/>
          <w:p>
            <w:pPr>
              <w:pStyle w:val="Compact"/>
              <w:jc w:val="right"/>
            </w:pPr>
            <w:r>
              <w:t xml:space="preserve">244.85</w:t>
            </w:r>
          </w:p>
        </w:tc>
        <w:tc>
          <w:tcPr/>
          <w:p>
            <w:pPr>
              <w:pStyle w:val="Compact"/>
              <w:jc w:val="right"/>
            </w:pPr>
            <w:r>
              <w:t xml:space="preserve">257.81</w:t>
            </w:r>
          </w:p>
        </w:tc>
      </w:tr>
    </w:tbl>
    <w:p>
      <w:pPr>
        <w:pStyle w:val="BodyText"/>
      </w:pPr>
      <w:r>
        <w:t xml:space="preserve">Il modello backward mostra valori superiori sia in termini di R² aggiustato</w:t>
      </w:r>
      <w:r>
        <w:t xml:space="preserve"> </w:t>
      </w:r>
      <w:r>
        <w:t xml:space="preserve">(0.3018 vs 0.2837) sia di AIC (244.85 vs 245.57), suggerendo un miglior</w:t>
      </w:r>
      <w:r>
        <w:t xml:space="preserve"> </w:t>
      </w:r>
      <w:r>
        <w:t xml:space="preserve">bilanciamento tra capacità esplicativa e parsimonia. Il BIC tuttavia inverte</w:t>
      </w:r>
      <w:r>
        <w:t xml:space="preserve"> </w:t>
      </w:r>
      <w:r>
        <w:t xml:space="preserve">il giudizio (257.81 vs 256.37), penalizzando più severamente la variabile</w:t>
      </w:r>
      <w:r>
        <w:t xml:space="preserve"> </w:t>
      </w:r>
      <w:r>
        <w:t xml:space="preserve">aggiuntiva introdotta dalla selezione. Per dirimere questa discordanza si</w:t>
      </w:r>
      <w:r>
        <w:t xml:space="preserve"> </w:t>
      </w:r>
      <w:r>
        <w:t xml:space="preserve">ricorre al test F gerarchico tramite ANOVA, che consente di verificare</w:t>
      </w:r>
      <w:r>
        <w:t xml:space="preserve"> </w:t>
      </w:r>
      <w:r>
        <w:t xml:space="preserve">formalmente se il contributo delle variabili aggiuntive del modello backward</w:t>
      </w:r>
      <w:r>
        <w:t xml:space="preserve"> </w:t>
      </w:r>
      <w:r>
        <w:t xml:space="preserve">sia statisticamente significativo o ascrivibile alla variabilità campionaria.</w:t>
      </w:r>
    </w:p>
    <w:p>
      <w:pPr>
        <w:pStyle w:val="SourceCode"/>
      </w:pPr>
      <w:r>
        <w:rPr>
          <w:rStyle w:val="VerbatimChar"/>
        </w:rPr>
        <w:t xml:space="preserve">Analysis of Variance Table</w:t>
      </w:r>
      <w:r>
        <w:br/>
      </w:r>
      <w:r>
        <w:br/>
      </w:r>
      <w:r>
        <w:rPr>
          <w:rStyle w:val="VerbatimChar"/>
        </w:rPr>
        <w:t xml:space="preserve">Model 1: goal_difference ~ pre_match_ppg_positive + implied_probability_difference + </w:t>
      </w:r>
      <w:r>
        <w:br/>
      </w:r>
      <w:r>
        <w:rPr>
          <w:rStyle w:val="VerbatimChar"/>
        </w:rPr>
        <w:t xml:space="preserve">    knockout</w:t>
      </w:r>
      <w:r>
        <w:br/>
      </w:r>
      <w:r>
        <w:rPr>
          <w:rStyle w:val="VerbatimChar"/>
        </w:rPr>
        <w:t xml:space="preserve">Model 2: goal_difference ~ pre_match_ppg_positive + implied_probability_difference + </w:t>
      </w:r>
      <w:r>
        <w:br/>
      </w:r>
      <w:r>
        <w:rPr>
          <w:rStyle w:val="VerbatimChar"/>
        </w:rPr>
        <w:t xml:space="preserve">    knockout + players_age_difference</w:t>
      </w:r>
      <w:r>
        <w:br/>
      </w:r>
      <w:r>
        <w:rPr>
          <w:rStyle w:val="VerbatimChar"/>
        </w:rPr>
        <w:t xml:space="preserve">  Res.Df    RSS Df Sum of Sq      F Pr(&gt;F)</w:t>
      </w:r>
      <w:r>
        <w:br/>
      </w:r>
      <w:r>
        <w:rPr>
          <w:rStyle w:val="VerbatimChar"/>
        </w:rPr>
        <w:t xml:space="preserve">1     60 148.68                           </w:t>
      </w:r>
      <w:r>
        <w:br/>
      </w:r>
      <w:r>
        <w:rPr>
          <w:rStyle w:val="VerbatimChar"/>
        </w:rPr>
        <w:t xml:space="preserve">2     59 142.50  1    6.1809 2.5591  0.115</w:t>
      </w:r>
    </w:p>
    <w:p>
      <w:pPr>
        <w:pStyle w:val="FirstParagraph"/>
      </w:pPr>
      <w:r>
        <w:t xml:space="preserve">Il confronto tra i due modelli annidati viene formalizzato tramite</w:t>
      </w:r>
      <w:r>
        <w:t xml:space="preserve"> </w:t>
      </w:r>
      <w:r>
        <w:rPr>
          <w:b/>
          <w:bCs/>
        </w:rPr>
        <w:t xml:space="preserve">test F</w:t>
      </w:r>
      <w:r>
        <w:rPr>
          <w:b/>
          <w:bCs/>
        </w:rPr>
        <w:t xml:space="preserve"> </w:t>
      </w:r>
      <w:r>
        <w:rPr>
          <w:b/>
          <w:bCs/>
        </w:rPr>
        <w:t xml:space="preserve">gerarchico</w:t>
      </w:r>
      <w:r>
        <w:t xml:space="preserve">. Dati un modello ristretto con</w:t>
      </w:r>
      <w:r>
        <w:t xml:space="preserve"> </w:t>
      </w:r>
      <m:oMath>
        <m:sSub>
          <m:e>
            <m:r>
              <m:t>p</m:t>
            </m:r>
          </m:e>
          <m:sub>
            <m:r>
              <m:t>R</m:t>
            </m:r>
          </m:sub>
        </m:sSub>
      </m:oMath>
      <w:r>
        <w:t xml:space="preserve"> </w:t>
      </w:r>
      <w:r>
        <w:t xml:space="preserve">parametri e uno esteso con</w:t>
      </w:r>
      <w:r>
        <w:t xml:space="preserve"> </w:t>
      </w:r>
      <m:oMath>
        <m:sSub>
          <m:e>
            <m:r>
              <m:t>p</m:t>
            </m:r>
          </m:e>
          <m:sub>
            <m:r>
              <m:t>E</m:t>
            </m:r>
          </m:sub>
        </m:sSub>
        <m:r>
          <m:rPr>
            <m:sty m:val="p"/>
          </m:rPr>
          <m:t>&gt;</m:t>
        </m:r>
        <m:sSub>
          <m:e>
            <m:r>
              <m:t>p</m:t>
            </m:r>
          </m:e>
          <m:sub>
            <m:r>
              <m:t>R</m:t>
            </m:r>
          </m:sub>
        </m:sSub>
      </m:oMath>
      <w:r>
        <w:t xml:space="preserve"> </w:t>
      </w:r>
      <w:r>
        <w:t xml:space="preserve">parametri (entrambi stimati sullo stesso campione di</w:t>
      </w:r>
      <w:r>
        <w:t xml:space="preserve"> </w:t>
      </w:r>
      <m:oMath>
        <m:r>
          <m:t>n</m:t>
        </m:r>
      </m:oMath>
      <w:r>
        <w:t xml:space="preserve"> </w:t>
      </w:r>
      <w:r>
        <w:t xml:space="preserve">osservazioni), la statistica test è</w:t>
      </w:r>
    </w:p>
    <w:p>
      <w:pPr>
        <w:pStyle w:val="BodyText"/>
      </w:pPr>
      <m:oMathPara>
        <m:oMathParaPr>
          <m:jc m:val="center"/>
        </m:oMathParaPr>
        <m:oMath>
          <m:r>
            <m:t>F</m:t>
          </m:r>
          <m:r>
            <m:rPr>
              <m:sty m:val="p"/>
            </m:rPr>
            <m:t>=</m:t>
          </m:r>
          <m:f>
            <m:fPr>
              <m:type m:val="bar"/>
            </m:fPr>
            <m:num>
              <m:r>
                <m:rPr>
                  <m:sty m:val="p"/>
                </m:rPr>
                <m:t>(</m:t>
              </m:r>
              <m:r>
                <m:t>R</m:t>
              </m:r>
              <m:r>
                <m:t>S</m:t>
              </m:r>
              <m:sSub>
                <m:e>
                  <m:r>
                    <m:t>S</m:t>
                  </m:r>
                </m:e>
                <m:sub>
                  <m:r>
                    <m:t>R</m:t>
                  </m:r>
                </m:sub>
              </m:sSub>
              <m:r>
                <m:rPr>
                  <m:sty m:val="p"/>
                </m:rPr>
                <m:t>−</m:t>
              </m:r>
              <m:r>
                <m:t>R</m:t>
              </m:r>
              <m:r>
                <m:t>S</m:t>
              </m:r>
              <m:sSub>
                <m:e>
                  <m:r>
                    <m:t>S</m:t>
                  </m:r>
                </m:e>
                <m:sub>
                  <m:r>
                    <m:t>E</m:t>
                  </m:r>
                </m:sub>
              </m:sSub>
              <m:r>
                <m:rPr>
                  <m:sty m:val="p"/>
                </m:rPr>
                <m:t>)</m:t>
              </m:r>
              <m:r>
                <m:t> </m:t>
              </m:r>
              <m:r>
                <m:rPr>
                  <m:sty m:val="p"/>
                </m:rPr>
                <m:t>/</m:t>
              </m:r>
              <m:r>
                <m:t> </m:t>
              </m:r>
              <m:r>
                <m:rPr>
                  <m:sty m:val="p"/>
                </m:rPr>
                <m:t>(</m:t>
              </m:r>
              <m:sSub>
                <m:e>
                  <m:r>
                    <m:t>p</m:t>
                  </m:r>
                </m:e>
                <m:sub>
                  <m:r>
                    <m:t>E</m:t>
                  </m:r>
                </m:sub>
              </m:sSub>
              <m:r>
                <m:rPr>
                  <m:sty m:val="p"/>
                </m:rPr>
                <m:t>−</m:t>
              </m:r>
              <m:sSub>
                <m:e>
                  <m:r>
                    <m:t>p</m:t>
                  </m:r>
                </m:e>
                <m:sub>
                  <m:r>
                    <m:t>R</m:t>
                  </m:r>
                </m:sub>
              </m:sSub>
              <m:r>
                <m:rPr>
                  <m:sty m:val="p"/>
                </m:rPr>
                <m:t>)</m:t>
              </m:r>
            </m:num>
            <m:den>
              <m:r>
                <m:t>R</m:t>
              </m:r>
              <m:r>
                <m:t>S</m:t>
              </m:r>
              <m:sSub>
                <m:e>
                  <m:r>
                    <m:t>S</m:t>
                  </m:r>
                </m:e>
                <m:sub>
                  <m:r>
                    <m:t>E</m:t>
                  </m:r>
                </m:sub>
              </m:sSub>
              <m:r>
                <m:t> </m:t>
              </m:r>
              <m:r>
                <m:rPr>
                  <m:sty m:val="p"/>
                </m:rPr>
                <m:t>/</m:t>
              </m:r>
              <m:r>
                <m:t> </m:t>
              </m:r>
              <m:r>
                <m:rPr>
                  <m:sty m:val="p"/>
                </m:rPr>
                <m:t>(</m:t>
              </m:r>
              <m:r>
                <m:t>n</m:t>
              </m:r>
              <m:r>
                <m:rPr>
                  <m:sty m:val="p"/>
                </m:rPr>
                <m:t>−</m:t>
              </m:r>
              <m:sSub>
                <m:e>
                  <m:r>
                    <m:t>p</m:t>
                  </m:r>
                </m:e>
                <m:sub>
                  <m:r>
                    <m:t>E</m:t>
                  </m:r>
                </m:sub>
              </m:sSub>
              <m:r>
                <m:rPr>
                  <m:sty m:val="p"/>
                </m:rPr>
                <m:t>)</m:t>
              </m:r>
            </m:den>
          </m:f>
        </m:oMath>
      </m:oMathPara>
    </w:p>
    <w:p>
      <w:pPr>
        <w:pStyle w:val="FirstParagraph"/>
      </w:pPr>
      <w:r>
        <w:t xml:space="preserve">dove</w:t>
      </w:r>
      <w:r>
        <w:t xml:space="preserve"> </w:t>
      </w:r>
      <m:oMath>
        <m:r>
          <m:t>R</m:t>
        </m:r>
        <m:r>
          <m:t>S</m:t>
        </m:r>
        <m:sSub>
          <m:e>
            <m:r>
              <m:t>S</m:t>
            </m:r>
          </m:e>
          <m:sub>
            <m:r>
              <m:t>R</m:t>
            </m:r>
          </m:sub>
        </m:sSub>
      </m:oMath>
      <w:r>
        <w:t xml:space="preserve"> </w:t>
      </w:r>
      <w:r>
        <w:t xml:space="preserve">e</w:t>
      </w:r>
      <w:r>
        <w:t xml:space="preserve"> </w:t>
      </w:r>
      <m:oMath>
        <m:r>
          <m:t>R</m:t>
        </m:r>
        <m:r>
          <m:t>S</m:t>
        </m:r>
        <m:sSub>
          <m:e>
            <m:r>
              <m:t>S</m:t>
            </m:r>
          </m:e>
          <m:sub>
            <m:r>
              <m:t>E</m:t>
            </m:r>
          </m:sub>
        </m:sSub>
      </m:oMath>
      <w:r>
        <w:t xml:space="preserve"> </w:t>
      </w:r>
      <w:r>
        <w:t xml:space="preserve">sono le somme dei quadrati dei residui del modello</w:t>
      </w:r>
      <w:r>
        <w:t xml:space="preserve"> </w:t>
      </w:r>
      <w:r>
        <w:t xml:space="preserve">ristretto ed esteso rispettivamente. Sotto H₀ — ovvero che i coefficienti</w:t>
      </w:r>
      <w:r>
        <w:t xml:space="preserve"> </w:t>
      </w:r>
      <w:r>
        <w:t xml:space="preserve">aggiuntivi del modello esteso siano tutti nulli —</w:t>
      </w:r>
      <w:r>
        <w:t xml:space="preserve"> </w:t>
      </w:r>
      <m:oMath>
        <m:r>
          <m:t>F</m:t>
        </m:r>
      </m:oMath>
      <w:r>
        <w:t xml:space="preserve"> </w:t>
      </w:r>
      <w:r>
        <w:t xml:space="preserve">segue una distribuzione</w:t>
      </w:r>
      <w:r>
        <w:t xml:space="preserve"> </w:t>
      </w:r>
      <m:oMath>
        <m:r>
          <m:t>F</m:t>
        </m:r>
      </m:oMath>
      <w:r>
        <w:t xml:space="preserve"> </w:t>
      </w:r>
      <w:r>
        <w:t xml:space="preserve">con</w:t>
      </w:r>
      <w:r>
        <w:t xml:space="preserve"> </w:t>
      </w:r>
      <m:oMath>
        <m:r>
          <m:rPr>
            <m:sty m:val="p"/>
          </m:rPr>
          <m:t>(</m:t>
        </m:r>
        <m:sSub>
          <m:e>
            <m:r>
              <m:t>p</m:t>
            </m:r>
          </m:e>
          <m:sub>
            <m:r>
              <m:t>E</m:t>
            </m:r>
          </m:sub>
        </m:sSub>
        <m:r>
          <m:rPr>
            <m:sty m:val="p"/>
          </m:rPr>
          <m:t>−</m:t>
        </m:r>
        <m:sSub>
          <m:e>
            <m:r>
              <m:t>p</m:t>
            </m:r>
          </m:e>
          <m:sub>
            <m:r>
              <m:t>R</m:t>
            </m:r>
          </m:sub>
        </m:sSub>
        <m:r>
          <m:rPr>
            <m:sty m:val="p"/>
          </m:rPr>
          <m:t>,</m:t>
        </m:r>
        <m:r>
          <m:t> </m:t>
        </m:r>
        <m:r>
          <m:t>n</m:t>
        </m:r>
        <m:r>
          <m:rPr>
            <m:sty m:val="p"/>
          </m:rPr>
          <m:t>−</m:t>
        </m:r>
        <m:sSub>
          <m:e>
            <m:r>
              <m:t>p</m:t>
            </m:r>
          </m:e>
          <m:sub>
            <m:r>
              <m:t>E</m:t>
            </m:r>
          </m:sub>
        </m:sSub>
        <m:r>
          <m:rPr>
            <m:sty m:val="p"/>
          </m:rPr>
          <m:t>)</m:t>
        </m:r>
      </m:oMath>
      <w:r>
        <w:t xml:space="preserve"> </w:t>
      </w:r>
      <w:r>
        <w:t xml:space="preserve">gradi di libertà. Un p-value superiore a</w:t>
      </w:r>
      <w:r>
        <w:t xml:space="preserve"> </w:t>
      </w:r>
      <m:oMath>
        <m:r>
          <m:t>α</m:t>
        </m:r>
        <m:r>
          <m:rPr>
            <m:sty m:val="p"/>
          </m:rPr>
          <m:t>=</m:t>
        </m:r>
        <m:r>
          <m:t>0.05</m:t>
        </m:r>
      </m:oMath>
      <w:r>
        <w:t xml:space="preserve"> </w:t>
      </w:r>
      <w:r>
        <w:t xml:space="preserve">indica che i predittori aggiuntivi non apportano un miglioramento</w:t>
      </w:r>
      <w:r>
        <w:t xml:space="preserve"> </w:t>
      </w:r>
      <w:r>
        <w:t xml:space="preserve">statisticamente significativo alla capacità esplicativa del modello.</w:t>
      </w:r>
    </w:p>
    <w:p>
      <w:pPr>
        <w:pStyle w:val="BodyText"/>
      </w:pPr>
      <w:r>
        <w:t xml:space="preserve">Il confronto è integrato dai</w:t>
      </w:r>
      <w:r>
        <w:t xml:space="preserve"> </w:t>
      </w:r>
      <w:r>
        <w:rPr>
          <w:b/>
          <w:bCs/>
        </w:rPr>
        <w:t xml:space="preserve">criteri informativi</w:t>
      </w:r>
      <w:r>
        <w:t xml:space="preserve"> </w:t>
      </w:r>
      <w:r>
        <w:t xml:space="preserve">AIC e BIC, che penalizzano la complessità del modello anche quando i due modelli non sono strettamente</w:t>
      </w:r>
      <w:r>
        <w:t xml:space="preserve"> </w:t>
      </w:r>
      <w:r>
        <w:t xml:space="preserve">annidati:</w:t>
      </w:r>
    </w:p>
    <w:p>
      <w:pPr>
        <w:pStyle w:val="BodyText"/>
      </w:pPr>
      <m:oMathPara>
        <m:oMathParaPr>
          <m:jc m:val="center"/>
        </m:oMathParaPr>
        <m:oMath>
          <m:r>
            <m:rPr>
              <m:nor/>
              <m:sty m:val="p"/>
            </m:rPr>
            <m:t>AIC</m:t>
          </m:r>
          <m:r>
            <m:rPr>
              <m:sty m:val="p"/>
            </m:rPr>
            <m:t>=</m:t>
          </m:r>
          <m:r>
            <m:rPr>
              <m:sty m:val="p"/>
            </m:rPr>
            <m:t>−</m:t>
          </m:r>
          <m:r>
            <m:t>2</m:t>
          </m:r>
          <m:r>
            <m:t>ℓ</m:t>
          </m:r>
          <m:r>
            <m:rPr>
              <m:sty m:val="p"/>
            </m:rPr>
            <m:t>(</m:t>
          </m:r>
          <m:acc>
            <m:accPr>
              <m:chr m:val="̂"/>
            </m:accPr>
            <m:e>
              <m:r>
                <m:t>θ</m:t>
              </m:r>
            </m:e>
          </m:acc>
          <m:r>
            <m:rPr>
              <m:sty m:val="p"/>
            </m:rPr>
            <m:t>)</m:t>
          </m:r>
          <m:r>
            <m:rPr>
              <m:sty m:val="p"/>
            </m:rPr>
            <m:t>+</m:t>
          </m:r>
          <m:r>
            <m:t>2</m:t>
          </m:r>
          <m:r>
            <m:t>k</m:t>
          </m:r>
          <m:r>
            <m:t>  </m:t>
          </m:r>
          <m:r>
            <m:rPr>
              <m:nor/>
              <m:sty m:val="p"/>
            </m:rPr>
            <m:t>BIC</m:t>
          </m:r>
          <m:r>
            <m:rPr>
              <m:sty m:val="p"/>
            </m:rPr>
            <m:t>=</m:t>
          </m:r>
          <m:r>
            <m:rPr>
              <m:sty m:val="p"/>
            </m:rPr>
            <m:t>−</m:t>
          </m:r>
          <m:r>
            <m:t>2</m:t>
          </m:r>
          <m:r>
            <m:t>ℓ</m:t>
          </m:r>
          <m:r>
            <m:rPr>
              <m:sty m:val="p"/>
            </m:rPr>
            <m:t>(</m:t>
          </m:r>
          <m:acc>
            <m:accPr>
              <m:chr m:val="̂"/>
            </m:accPr>
            <m:e>
              <m:r>
                <m:t>θ</m:t>
              </m:r>
            </m:e>
          </m:acc>
          <m:r>
            <m:rPr>
              <m:sty m:val="p"/>
            </m:rPr>
            <m:t>)</m:t>
          </m:r>
          <m:r>
            <m:rPr>
              <m:sty m:val="p"/>
            </m:rPr>
            <m:t>+</m:t>
          </m:r>
          <m:r>
            <m:t>k</m:t>
          </m:r>
          <m:r>
            <m:rPr>
              <m:sty m:val="p"/>
            </m:rPr>
            <m:t>log</m:t>
          </m:r>
          <m:r>
            <m:t>n</m:t>
          </m:r>
        </m:oMath>
      </m:oMathPara>
    </w:p>
    <w:p>
      <w:pPr>
        <w:pStyle w:val="FirstParagraph"/>
      </w:pPr>
      <w:r>
        <w:t xml:space="preserve">dove</w:t>
      </w:r>
      <w:r>
        <w:t xml:space="preserve"> </w:t>
      </w:r>
      <m:oMath>
        <m:r>
          <m:t>ℓ</m:t>
        </m:r>
        <m:r>
          <m:rPr>
            <m:sty m:val="p"/>
          </m:rPr>
          <m:t>(</m:t>
        </m:r>
        <m:acc>
          <m:accPr>
            <m:chr m:val="̂"/>
          </m:accPr>
          <m:e>
            <m:r>
              <m:t>θ</m:t>
            </m:r>
          </m:e>
        </m:acc>
        <m:r>
          <m:rPr>
            <m:sty m:val="p"/>
          </m:rPr>
          <m:t>)</m:t>
        </m:r>
      </m:oMath>
      <w:r>
        <w:t xml:space="preserve"> </w:t>
      </w:r>
      <w:r>
        <w:t xml:space="preserve">è il log-verosimiglianza massimizzata e</w:t>
      </w:r>
      <w:r>
        <w:t xml:space="preserve"> </w:t>
      </w:r>
      <m:oMath>
        <m:r>
          <m:t>k</m:t>
        </m:r>
      </m:oMath>
      <w:r>
        <w:t xml:space="preserve"> </w:t>
      </w:r>
      <w:r>
        <w:t xml:space="preserve">è il</w:t>
      </w:r>
      <w:r>
        <w:t xml:space="preserve"> </w:t>
      </w:r>
      <w:r>
        <w:t xml:space="preserve">numero di parametri. A differenza dell’AIC, il BIC penalizza più severamente</w:t>
      </w:r>
      <w:r>
        <w:t xml:space="preserve"> </w:t>
      </w:r>
      <w:r>
        <w:t xml:space="preserve">la complessità al crescere di</w:t>
      </w:r>
      <w:r>
        <w:t xml:space="preserve"> </w:t>
      </w:r>
      <m:oMath>
        <m:r>
          <m:t>n</m:t>
        </m:r>
      </m:oMath>
      <w:r>
        <w:t xml:space="preserve">, favorendo modelli più parsimoniosi. In</w:t>
      </w:r>
      <w:r>
        <w:t xml:space="preserve"> </w:t>
      </w:r>
      <w:r>
        <w:t xml:space="preserve">entrambi i criteri si preferisce il modello con valore più basso. Se il</w:t>
      </w:r>
      <w:r>
        <w:t xml:space="preserve"> </w:t>
      </w:r>
      <w:r>
        <w:t xml:space="preserve">modello backward non migliora significativamente quello di base — o presenta</w:t>
      </w:r>
      <w:r>
        <w:t xml:space="preserve"> </w:t>
      </w:r>
      <w:r>
        <w:t xml:space="preserve">AIC e BIC peggiori — si adotta la versione più parsimoniosa per ragioni di</w:t>
      </w:r>
      <w:r>
        <w:t xml:space="preserve"> </w:t>
      </w:r>
      <w:r>
        <w:t xml:space="preserve">interpretabilità e stabilità delle stime.</w:t>
      </w:r>
    </w:p>
    <w:p>
      <w:pPr>
        <w:pStyle w:val="BodyText"/>
      </w:pPr>
      <w:r>
        <w:t xml:space="preserve">Il test F gerarchico confronta i due modelli annidati: il modello base con 60</w:t>
      </w:r>
      <w:r>
        <w:t xml:space="preserve"> </w:t>
      </w:r>
      <w:r>
        <w:t xml:space="preserve">gradi di libertà residui (RSS = 148.68) e il modello backward con 59 (RSS =</w:t>
      </w:r>
      <w:r>
        <w:t xml:space="preserve"> </w:t>
      </w:r>
      <w:r>
        <w:t xml:space="preserve">142.50). La riduzione di RSS pari a 6.18 produce un valore F di 2.56, a cui</w:t>
      </w:r>
      <w:r>
        <w:t xml:space="preserve"> </w:t>
      </w:r>
      <w:r>
        <w:t xml:space="preserve">corrisponde un p-value di 0.115. Non si rifiuta quindi l’ipotesi nulla che il</w:t>
      </w:r>
      <w:r>
        <w:t xml:space="preserve"> </w:t>
      </w:r>
      <w:r>
        <w:t xml:space="preserve">contributo di</w:t>
      </w:r>
      <w:r>
        <w:t xml:space="preserve"> </w:t>
      </w:r>
      <w:r>
        <w:rPr>
          <w:rStyle w:val="VerbatimChar"/>
        </w:rPr>
        <w:t xml:space="preserve">players_age_difference</w:t>
      </w:r>
      <w:r>
        <w:t xml:space="preserve"> </w:t>
      </w:r>
      <w:r>
        <w:t xml:space="preserve">sia nullo: il miglioramento osservato</w:t>
      </w:r>
      <w:r>
        <w:t xml:space="preserve"> </w:t>
      </w:r>
      <w:r>
        <w:t xml:space="preserve">non è statisticamente significativo al livello del 5%.</w:t>
      </w:r>
    </w:p>
    <w:p>
      <w:pPr>
        <w:pStyle w:val="BodyText"/>
      </w:pPr>
      <w:r>
        <w:t xml:space="preserve">La lieve discordanza con l’AIC — che favoriva marginalmente il modello backward</w:t>
      </w:r>
      <w:r>
        <w:t xml:space="preserve"> </w:t>
      </w:r>
      <w:r>
        <w:t xml:space="preserve">— non costituisce una contraddizione: AIC e BIC penalizzano la complessità in</w:t>
      </w:r>
      <w:r>
        <w:t xml:space="preserve"> </w:t>
      </w:r>
      <w:r>
        <w:t xml:space="preserve">misura diversa, e con campioni medio-piccoli il BIC tende ad essere più</w:t>
      </w:r>
      <w:r>
        <w:t xml:space="preserve"> </w:t>
      </w:r>
      <w:r>
        <w:t xml:space="preserve">conservativo e più affidabile nel prevenire l’overfitting. In questo caso BIC</w:t>
      </w:r>
      <w:r>
        <w:t xml:space="preserve"> </w:t>
      </w:r>
      <w:r>
        <w:t xml:space="preserve">e ANOVA convergono nella stessa direzione, fornendo una base coerente per la</w:t>
      </w:r>
      <w:r>
        <w:t xml:space="preserve"> </w:t>
      </w:r>
      <w:r>
        <w:t xml:space="preserve">scelta. Si preferisce pertanto il modello base: più parsimonioso, fondato su</w:t>
      </w:r>
      <w:r>
        <w:t xml:space="preserve"> </w:t>
      </w:r>
      <w:r>
        <w:t xml:space="preserve">predittori teoricamente motivati, e non significativamente superato dal modello</w:t>
      </w:r>
      <w:r>
        <w:t xml:space="preserve"> </w:t>
      </w:r>
      <w:r>
        <w:t xml:space="preserve">con la variabile aggiuntiva.</w:t>
      </w:r>
    </w:p>
    <w:bookmarkEnd w:id="28"/>
    <w:bookmarkStart w:id="29" w:name="il-modello-finale"/>
    <w:p>
      <w:pPr>
        <w:pStyle w:val="Heading2"/>
      </w:pPr>
      <w:r>
        <w:t xml:space="preserve">3.6 Il modello finale</w:t>
      </w:r>
    </w:p>
    <w:p>
      <w:pPr>
        <w:pStyle w:val="FirstParagraph"/>
      </w:pPr>
      <w:r>
        <w:t xml:space="preserve">Il</w:t>
      </w:r>
      <w:r>
        <w:t xml:space="preserve"> </w:t>
      </w:r>
      <w:r>
        <w:rPr>
          <w:b/>
          <w:bCs/>
        </w:rPr>
        <w:t xml:space="preserve">modello finale</w:t>
      </w:r>
      <w:r>
        <w:t xml:space="preserve"> </w:t>
      </w:r>
      <w:r>
        <w:t xml:space="preserve">adottato è:</w:t>
      </w:r>
    </w:p>
    <w:p>
      <w:pPr>
        <w:pStyle w:val="BodyText"/>
      </w:pPr>
      <m:oMathPara>
        <m:oMathParaPr>
          <m:jc m:val="center"/>
        </m:oMathParaPr>
        <m:oMath>
          <m:sSub>
            <m:e>
              <m:acc>
                <m:accPr>
                  <m:chr m:val="̂"/>
                </m:accPr>
                <m:e>
                  <m:r>
                    <m:rPr>
                      <m:nor/>
                      <m:sty m:val="p"/>
                    </m:rPr>
                    <m:t>goal_diff</m:t>
                  </m:r>
                </m:e>
              </m:acc>
            </m:e>
            <m:sub>
              <m:r>
                <m:t>i</m:t>
              </m:r>
            </m:sub>
          </m:sSub>
          <m:r>
            <m:rPr>
              <m:sty m:val="p"/>
            </m:rPr>
            <m:t>=</m:t>
          </m:r>
          <m:sSub>
            <m:e>
              <m:r>
                <m:t>β</m:t>
              </m:r>
            </m:e>
            <m:sub>
              <m:r>
                <m:t>0</m:t>
              </m:r>
            </m:sub>
          </m:sSub>
          <m:r>
            <m:rPr>
              <m:sty m:val="p"/>
            </m:rPr>
            <m:t>+</m:t>
          </m:r>
          <m:sSub>
            <m:e>
              <m:r>
                <m:t>β</m:t>
              </m:r>
            </m:e>
            <m:sub>
              <m:r>
                <m:t>1</m:t>
              </m:r>
            </m:sub>
          </m:sSub>
          <m:r>
            <m:rPr>
              <m:sty m:val="p"/>
            </m:rPr>
            <m:t>⋅</m:t>
          </m:r>
          <m:sSub>
            <m:e>
              <m:r>
                <m:rPr>
                  <m:nor/>
                  <m:sty m:val="p"/>
                </m:rPr>
                <m:t>ppg_bin</m:t>
              </m:r>
            </m:e>
            <m:sub>
              <m:r>
                <m:t>i</m:t>
              </m:r>
            </m:sub>
          </m:sSub>
          <m:r>
            <m:rPr>
              <m:sty m:val="p"/>
            </m:rPr>
            <m:t>+</m:t>
          </m:r>
          <m:sSub>
            <m:e>
              <m:r>
                <m:t>β</m:t>
              </m:r>
            </m:e>
            <m:sub>
              <m:r>
                <m:t>2</m:t>
              </m:r>
            </m:sub>
          </m:sSub>
          <m:r>
            <m:rPr>
              <m:sty m:val="p"/>
            </m:rPr>
            <m:t>⋅</m:t>
          </m:r>
          <m:sSub>
            <m:e>
              <m:r>
                <m:rPr>
                  <m:nor/>
                  <m:sty m:val="p"/>
                </m:rPr>
                <m:t>implied_prob_diff</m:t>
              </m:r>
            </m:e>
            <m:sub>
              <m:r>
                <m:t>i</m:t>
              </m:r>
            </m:sub>
          </m:sSub>
          <m:r>
            <m:rPr>
              <m:sty m:val="p"/>
            </m:rPr>
            <m:t>+</m:t>
          </m:r>
          <m:sSub>
            <m:e>
              <m:r>
                <m:t>β</m:t>
              </m:r>
            </m:e>
            <m:sub>
              <m:r>
                <m:t>3</m:t>
              </m:r>
            </m:sub>
          </m:sSub>
          <m:r>
            <m:rPr>
              <m:sty m:val="p"/>
            </m:rPr>
            <m:t>⋅</m:t>
          </m:r>
          <m:sSub>
            <m:e>
              <m:r>
                <m:rPr>
                  <m:nor/>
                  <m:sty m:val="p"/>
                </m:rPr>
                <m:t>knockout</m:t>
              </m:r>
            </m:e>
            <m:sub>
              <m:r>
                <m:t>i</m:t>
              </m:r>
            </m:sub>
          </m:sSub>
          <m:r>
            <m:rPr>
              <m:sty m:val="p"/>
            </m:rPr>
            <m:t>+</m:t>
          </m:r>
          <m:sSub>
            <m:e>
              <m:r>
                <m:t>ε</m:t>
              </m:r>
            </m:e>
            <m:sub>
              <m:r>
                <m:t>i</m:t>
              </m:r>
            </m:sub>
          </m:sSub>
        </m:oMath>
      </m:oMathPara>
    </w:p>
    <w:p>
      <w:pPr>
        <w:pStyle w:val="FirstParagraph"/>
      </w:pPr>
      <w:r>
        <w:t xml:space="preserve">dove</w:t>
      </w:r>
      <w:r>
        <w:t xml:space="preserve"> </w:t>
      </w:r>
      <w:r>
        <w:rPr>
          <w:rStyle w:val="VerbatimChar"/>
        </w:rPr>
        <w:t xml:space="preserve">ppg_bin</w:t>
      </w:r>
      <w:r>
        <w:t xml:space="preserve"> </w:t>
      </w:r>
      <w:r>
        <w:t xml:space="preserve">è la versione binarizzata del vantaggio PPG,</w:t>
      </w:r>
      <w:r>
        <w:t xml:space="preserve"> </w:t>
      </w:r>
      <w:r>
        <w:rPr>
          <w:rStyle w:val="VerbatimChar"/>
        </w:rPr>
        <w:t xml:space="preserve">implied_prob_diff</w:t>
      </w:r>
      <w:r>
        <w:t xml:space="preserve"> </w:t>
      </w:r>
      <w:r>
        <w:t xml:space="preserve">è la differenza nelle probabilità implicite dei bookmaker, e</w:t>
      </w:r>
      <w:r>
        <w:t xml:space="preserve"> </w:t>
      </w:r>
      <w:r>
        <w:rPr>
          <w:rStyle w:val="VerbatimChar"/>
        </w:rPr>
        <w:t xml:space="preserve">knockout</w:t>
      </w:r>
      <w:r>
        <w:t xml:space="preserve"> </w:t>
      </w:r>
      <w:r>
        <w:t xml:space="preserve">indica la fase a eliminazione diretta.</w:t>
      </w:r>
    </w:p>
    <w:p>
      <w:pPr>
        <w:pStyle w:val="SourceCode"/>
      </w:pPr>
      <w:r>
        <w:br/>
      </w:r>
      <w:r>
        <w:rPr>
          <w:rStyle w:val="VerbatimChar"/>
        </w:rPr>
        <w:t xml:space="preserve">Call:</w:t>
      </w:r>
      <w:r>
        <w:br/>
      </w:r>
      <w:r>
        <w:rPr>
          <w:rStyle w:val="VerbatimChar"/>
        </w:rPr>
        <w:t xml:space="preserve">lm(formula = goal_difference ~ pre_match_ppg_positive + implied_probability_difference + </w:t>
      </w:r>
      <w:r>
        <w:br/>
      </w:r>
      <w:r>
        <w:rPr>
          <w:rStyle w:val="VerbatimChar"/>
        </w:rPr>
        <w:t xml:space="preserve">    knockout, data = model_data2)</w:t>
      </w:r>
      <w:r>
        <w:br/>
      </w:r>
      <w:r>
        <w:br/>
      </w:r>
      <w:r>
        <w:rPr>
          <w:rStyle w:val="VerbatimChar"/>
        </w:rPr>
        <w:t xml:space="preserve">Residuals:</w:t>
      </w:r>
      <w:r>
        <w:br/>
      </w:r>
      <w:r>
        <w:rPr>
          <w:rStyle w:val="VerbatimChar"/>
        </w:rPr>
        <w:t xml:space="preserve">    Min      1Q  Median      3Q     Max </w:t>
      </w:r>
      <w:r>
        <w:br/>
      </w:r>
      <w:r>
        <w:rPr>
          <w:rStyle w:val="VerbatimChar"/>
        </w:rPr>
        <w:t xml:space="preserve">-2.7044 -0.9964 -0.2498  0.8411  5.3950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0.2437     0.2809   0.868   0.3890    </w:t>
      </w:r>
      <w:r>
        <w:br/>
      </w:r>
      <w:r>
        <w:rPr>
          <w:rStyle w:val="VerbatimChar"/>
        </w:rPr>
        <w:t xml:space="preserve">pre_match_ppg_positive          -0.5463     0.4041  -1.352   0.1815    </w:t>
      </w:r>
      <w:r>
        <w:br/>
      </w:r>
      <w:r>
        <w:rPr>
          <w:rStyle w:val="VerbatimChar"/>
        </w:rPr>
        <w:t xml:space="preserve">implied_probability_difference   2.0231     0.4733   4.274 6.96e-05 ***</w:t>
      </w:r>
      <w:r>
        <w:br/>
      </w:r>
      <w:r>
        <w:rPr>
          <w:rStyle w:val="VerbatimChar"/>
        </w:rPr>
        <w:t xml:space="preserve">knockout                         1.2075     0.4651   2.596   0.0118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1.574 on 60 degrees of freedom</w:t>
      </w:r>
      <w:r>
        <w:br/>
      </w:r>
      <w:r>
        <w:rPr>
          <w:rStyle w:val="VerbatimChar"/>
        </w:rPr>
        <w:t xml:space="preserve">Multiple R-squared:  0.3178,    Adjusted R-squared:  0.2837 </w:t>
      </w:r>
      <w:r>
        <w:br/>
      </w:r>
      <w:r>
        <w:rPr>
          <w:rStyle w:val="VerbatimChar"/>
        </w:rPr>
        <w:t xml:space="preserve">F-statistic: 9.316 on 3 and 60 DF,  p-value: 3.799e-05</w:t>
      </w:r>
    </w:p>
    <w:p>
      <w:pPr>
        <w:pStyle w:val="FirstParagraph"/>
      </w:pPr>
      <w:r>
        <w:t xml:space="preserve">Il modello di regressione lineare stimato ha come variabile dipendente la differenza</w:t>
      </w:r>
      <w:r>
        <w:t xml:space="preserve"> </w:t>
      </w:r>
      <w:r>
        <w:t xml:space="preserve">reti registrata in ciascuna partita e include tre predittori: la differenza nei punti</w:t>
      </w:r>
      <w:r>
        <w:t xml:space="preserve"> </w:t>
      </w:r>
      <w:r>
        <w:t xml:space="preserve">per partita pre-torneo della squadra favorita (</w:t>
      </w:r>
      <w:r>
        <w:rPr>
          <w:rStyle w:val="VerbatimChar"/>
        </w:rPr>
        <w:t xml:space="preserve">pre_match_ppg_positive</w:t>
      </w:r>
      <w:r>
        <w:t xml:space="preserve">), la</w:t>
      </w:r>
      <w:r>
        <w:t xml:space="preserve"> </w:t>
      </w:r>
      <w:r>
        <w:t xml:space="preserve">differenza nelle probabilità implicite ricavate dalle quote di mercato</w:t>
      </w:r>
      <w:r>
        <w:t xml:space="preserve"> </w:t>
      </w:r>
      <w:r>
        <w:t xml:space="preserve">(</w:t>
      </w:r>
      <w:r>
        <w:rPr>
          <w:rStyle w:val="VerbatimChar"/>
        </w:rPr>
        <w:t xml:space="preserve">implied_probability_difference</w:t>
      </w:r>
      <w:r>
        <w:t xml:space="preserve">) e una variabile dummy che distingue le partite</w:t>
      </w:r>
      <w:r>
        <w:t xml:space="preserve"> </w:t>
      </w:r>
      <w:r>
        <w:t xml:space="preserve">della fase a eliminazione diretta da quelle del girone (</w:t>
      </w:r>
      <w:r>
        <w:rPr>
          <w:rStyle w:val="VerbatimChar"/>
        </w:rPr>
        <w:t xml:space="preserve">knockout</w:t>
      </w:r>
      <w:r>
        <w:t xml:space="preserve">).</w:t>
      </w:r>
    </w:p>
    <w:p>
      <w:pPr>
        <w:pStyle w:val="BodyText"/>
      </w:pPr>
      <w:r>
        <w:t xml:space="preserve">Nel caso della regressione multipla con</w:t>
      </w:r>
      <w:r>
        <w:t xml:space="preserve"> </w:t>
      </w:r>
      <m:oMath>
        <m:r>
          <m:t>p</m:t>
        </m:r>
      </m:oMath>
      <w:r>
        <w:t xml:space="preserve"> </w:t>
      </w:r>
      <w:r>
        <w:t xml:space="preserve">predittori, il modello si scrive in</w:t>
      </w:r>
      <w:r>
        <w:t xml:space="preserve"> </w:t>
      </w:r>
      <w:r>
        <w:t xml:space="preserve">forma matriciale come:</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ε</m:t>
          </m:r>
        </m:oMath>
      </m:oMathPara>
    </w:p>
    <w:p>
      <w:pPr>
        <w:pStyle w:val="FirstParagraph"/>
      </w:pPr>
      <w:r>
        <w:t xml:space="preserve">dove</w:t>
      </w:r>
      <w:r>
        <w:t xml:space="preserve"> </w:t>
      </w:r>
      <m:oMath>
        <m:r>
          <m:rPr>
            <m:sty m:val="b"/>
          </m:rPr>
          <m:t>y</m:t>
        </m:r>
      </m:oMath>
      <w:r>
        <w:t xml:space="preserve"> </w:t>
      </w:r>
      <w:r>
        <w:t xml:space="preserve">è il vettore delle risposte osservate,</w:t>
      </w:r>
      <w:r>
        <w:t xml:space="preserve"> </w:t>
      </w:r>
      <m:oMath>
        <m:r>
          <m:rPr>
            <m:sty m:val="b"/>
          </m:rPr>
          <m:t>X</m:t>
        </m:r>
      </m:oMath>
      <w:r>
        <w:t xml:space="preserve"> </w:t>
      </w:r>
      <w:r>
        <w:t xml:space="preserve">è la matrice</w:t>
      </w:r>
      <w:r>
        <w:t xml:space="preserve"> </w:t>
      </w:r>
      <w:r>
        <w:t xml:space="preserve">di disegno (con una colonna di uni per l’intercetta e una colonna per ciascun</w:t>
      </w:r>
      <w:r>
        <w:t xml:space="preserve"> </w:t>
      </w:r>
      <w:r>
        <w:t xml:space="preserve">predittore),</w:t>
      </w:r>
      <w:r>
        <w:t xml:space="preserve"> </w:t>
      </w:r>
      <m:oMath>
        <m:r>
          <m:rPr>
            <m:sty m:val="b"/>
          </m:rPr>
          <m:t>β</m:t>
        </m:r>
      </m:oMath>
      <w:r>
        <w:t xml:space="preserve"> </w:t>
      </w:r>
      <w:r>
        <w:t xml:space="preserve">è il vettore dei parametri e</w:t>
      </w:r>
      <w:r>
        <w:t xml:space="preserve"> </w:t>
      </w:r>
      <m:oMath>
        <m:r>
          <m:rPr>
            <m:sty m:val="b"/>
          </m:rPr>
          <m:t>ε</m:t>
        </m:r>
      </m:oMath>
      <w:r>
        <w:t xml:space="preserve"> </w:t>
      </w:r>
      <w:r>
        <w:t xml:space="preserve">è il vettore degli errori. Il vettore dei coefficienti è stimato minimizzando la</w:t>
      </w:r>
      <w:r>
        <w:t xml:space="preserve"> </w:t>
      </w:r>
      <w:r>
        <w:t xml:space="preserve">somma dei quadrati dei residui:</w:t>
      </w:r>
    </w:p>
    <w:p>
      <w:pPr>
        <w:pStyle w:val="BodyText"/>
      </w:pPr>
      <m:oMathPara>
        <m:oMathParaPr>
          <m:jc m:val="center"/>
        </m:oMathParaPr>
        <m:oMath>
          <m:r>
            <m:t>G</m:t>
          </m:r>
          <m:r>
            <m:rPr>
              <m:sty m:val="p"/>
            </m:rPr>
            <m:t>(</m:t>
          </m:r>
          <m:r>
            <m:rPr>
              <m:sty m:val="b"/>
            </m:rPr>
            <m:t>β</m:t>
          </m:r>
          <m:r>
            <m:rPr>
              <m:sty m:val="p"/>
            </m:rPr>
            <m:t>)</m:t>
          </m:r>
          <m:r>
            <m:rPr>
              <m:sty m:val="p"/>
            </m:rPr>
            <m:t>=</m:t>
          </m:r>
          <m:r>
            <m:rPr>
              <m:sty m:val="p"/>
            </m:rPr>
            <m:t>(</m:t>
          </m:r>
          <m:r>
            <m:rPr>
              <m:sty m:val="b"/>
            </m:rPr>
            <m:t>y</m:t>
          </m:r>
          <m:r>
            <m:rPr>
              <m:sty m:val="p"/>
            </m:rPr>
            <m:t>−</m:t>
          </m:r>
          <m:r>
            <m:rPr>
              <m:sty m:val="b"/>
            </m:rPr>
            <m:t>X</m:t>
          </m:r>
          <m:r>
            <m:rPr>
              <m:sty m:val="b"/>
            </m:rPr>
            <m:t>β</m:t>
          </m:r>
          <m:sSup>
            <m:e>
              <m:r>
                <m:rPr>
                  <m:sty m:val="p"/>
                </m:rPr>
                <m:t>)</m:t>
              </m:r>
            </m:e>
            <m:sup>
              <m:r>
                <m:rPr>
                  <m:sty m:val="p"/>
                </m:rPr>
                <m:t>′</m:t>
              </m:r>
            </m:sup>
          </m:sSup>
          <m:r>
            <m:rPr>
              <m:sty m:val="p"/>
            </m:rPr>
            <m:t>(</m:t>
          </m:r>
          <m:r>
            <m:rPr>
              <m:sty m:val="b"/>
            </m:rPr>
            <m:t>y</m:t>
          </m:r>
          <m:r>
            <m:rPr>
              <m:sty m:val="p"/>
            </m:rPr>
            <m:t>−</m:t>
          </m:r>
          <m:r>
            <m:rPr>
              <m:sty m:val="b"/>
            </m:rPr>
            <m:t>X</m:t>
          </m:r>
          <m:r>
            <m:rPr>
              <m:sty m:val="b"/>
            </m:rPr>
            <m:t>β</m:t>
          </m:r>
          <m:r>
            <m:rPr>
              <m:sty m:val="p"/>
            </m:rPr>
            <m:t>)</m:t>
          </m:r>
        </m:oMath>
      </m:oMathPara>
    </w:p>
    <w:p>
      <w:pPr>
        <w:pStyle w:val="FirstParagraph"/>
      </w:pPr>
      <w:r>
        <w:t xml:space="preserve">Impostando il gradiente uguale a zero si ottengono le equazioni normali</w:t>
      </w:r>
      <w:r>
        <w:t xml:space="preserve"> </w:t>
      </w:r>
      <m:oMath>
        <m:sSup>
          <m:e>
            <m:r>
              <m:rPr>
                <m:sty m:val="b"/>
              </m:rPr>
              <m:t>X</m:t>
            </m:r>
          </m:e>
          <m:sup>
            <m:r>
              <m:rPr>
                <m:sty m:val="p"/>
              </m:rPr>
              <m:t>′</m:t>
            </m:r>
          </m:sup>
        </m:sSup>
        <m:r>
          <m:rPr>
            <m:sty m:val="b"/>
          </m:rPr>
          <m:t>X</m:t>
        </m:r>
        <m:r>
          <m:rPr>
            <m:sty m:val="b"/>
          </m:rPr>
          <m:t>β</m:t>
        </m:r>
        <m:r>
          <m:rPr>
            <m:sty m:val="p"/>
          </m:rPr>
          <m:t>=</m:t>
        </m:r>
        <m:sSup>
          <m:e>
            <m:r>
              <m:rPr>
                <m:sty m:val="b"/>
              </m:rPr>
              <m:t>X</m:t>
            </m:r>
          </m:e>
          <m:sup>
            <m:r>
              <m:rPr>
                <m:sty m:val="p"/>
              </m:rPr>
              <m:t>′</m:t>
            </m:r>
          </m:sup>
        </m:sSup>
        <m:r>
          <m:rPr>
            <m:sty m:val="b"/>
          </m:rPr>
          <m:t>y</m:t>
        </m:r>
      </m:oMath>
      <w:r>
        <w:t xml:space="preserve">, la cui soluzione,</w:t>
      </w:r>
      <w:r>
        <w:t xml:space="preserve"> </w:t>
      </w:r>
      <w:r>
        <w:t xml:space="preserve">garantita dall’invertibilità di</w:t>
      </w:r>
      <w:r>
        <w:t xml:space="preserve"> </w:t>
      </w:r>
      <m:oMath>
        <m:sSup>
          <m:e>
            <m:r>
              <m:rPr>
                <m:sty m:val="b"/>
              </m:rPr>
              <m:t>X</m:t>
            </m:r>
          </m:e>
          <m:sup>
            <m:r>
              <m:rPr>
                <m:sty m:val="p"/>
              </m:rPr>
              <m:t>′</m:t>
            </m:r>
          </m:sup>
        </m:sSup>
        <m:r>
          <m:rPr>
            <m:sty m:val="b"/>
          </m:rPr>
          <m:t>X</m:t>
        </m:r>
      </m:oMath>
      <w:r>
        <w:t xml:space="preserve"> </w:t>
      </w:r>
      <w:r>
        <w:t xml:space="preserve">(ipotesi di rango pieno), è:</w:t>
      </w:r>
    </w:p>
    <w:p>
      <w:pPr>
        <w:pStyle w:val="BodyText"/>
      </w:pPr>
      <m:oMathPara>
        <m:oMathParaPr>
          <m:jc m:val="center"/>
        </m:oMathParaPr>
        <m:oMath>
          <m:acc>
            <m:accPr>
              <m:chr m:val="̂"/>
            </m:accPr>
            <m:e>
              <m:r>
                <m:rPr>
                  <m:sty m:val="b"/>
                </m:rPr>
                <m:t>β</m:t>
              </m:r>
            </m:e>
          </m:acc>
          <m:r>
            <m:rPr>
              <m:sty m:val="p"/>
            </m:rPr>
            <m:t>=</m:t>
          </m:r>
          <m:r>
            <m:rPr>
              <m:sty m:val="p"/>
            </m:rPr>
            <m:t>(</m:t>
          </m:r>
          <m:sSup>
            <m:e>
              <m:r>
                <m:rPr>
                  <m:sty m:val="b"/>
                </m:rPr>
                <m:t>X</m:t>
              </m:r>
            </m:e>
            <m:sup>
              <m:r>
                <m:rPr>
                  <m:sty m:val="p"/>
                </m:rPr>
                <m:t>′</m:t>
              </m:r>
            </m:sup>
          </m:sSup>
          <m:r>
            <m:rPr>
              <m:sty m:val="b"/>
            </m:rPr>
            <m:t>X</m:t>
          </m:r>
          <m:sSup>
            <m:e>
              <m:r>
                <m:rPr>
                  <m:sty m:val="p"/>
                </m:rPr>
                <m:t>)</m:t>
              </m:r>
            </m:e>
            <m:sup>
              <m:r>
                <m:rPr>
                  <m:sty m:val="p"/>
                </m:rPr>
                <m:t>−</m:t>
              </m:r>
              <m:r>
                <m:t>1</m:t>
              </m:r>
            </m:sup>
          </m:sSup>
          <m:sSup>
            <m:e>
              <m:r>
                <m:rPr>
                  <m:sty m:val="b"/>
                </m:rPr>
                <m:t>X</m:t>
              </m:r>
            </m:e>
            <m:sup>
              <m:r>
                <m:rPr>
                  <m:sty m:val="p"/>
                </m:rPr>
                <m:t>′</m:t>
              </m:r>
            </m:sup>
          </m:sSup>
          <m:r>
            <m:rPr>
              <m:sty m:val="b"/>
            </m:rPr>
            <m:t>y</m:t>
          </m:r>
        </m:oMath>
      </m:oMathPara>
    </w:p>
    <w:p>
      <w:pPr>
        <w:pStyle w:val="FirstParagraph"/>
      </w:pPr>
      <w:r>
        <w:t xml:space="preserve">Per il teorema di Gauss-Markov,</w:t>
      </w:r>
      <w:r>
        <w:t xml:space="preserve"> </w:t>
      </w:r>
      <m:oMath>
        <m:acc>
          <m:accPr>
            <m:chr m:val="̂"/>
          </m:accPr>
          <m:e>
            <m:r>
              <m:rPr>
                <m:sty m:val="b"/>
              </m:rPr>
              <m:t>β</m:t>
            </m:r>
          </m:e>
        </m:acc>
      </m:oMath>
      <w:r>
        <w:t xml:space="preserve"> </w:t>
      </w:r>
      <w:r>
        <w:t xml:space="preserve">è il migliore stimatore</w:t>
      </w:r>
      <w:r>
        <w:t xml:space="preserve"> </w:t>
      </w:r>
      <w:r>
        <w:t xml:space="preserve">lineare non distorto (BLUE) con varianza</w:t>
      </w:r>
      <w:r>
        <w:t xml:space="preserve"> </w:t>
      </w:r>
      <m:oMath>
        <m:r>
          <m:rPr>
            <m:nor/>
            <m:sty m:val="p"/>
          </m:rPr>
          <m:t>Var</m:t>
        </m:r>
        <m:r>
          <m:rPr>
            <m:sty m:val="p"/>
          </m:rPr>
          <m:t>(</m:t>
        </m:r>
        <m:acc>
          <m:accPr>
            <m:chr m:val="̂"/>
          </m:accPr>
          <m:e>
            <m:r>
              <m:rPr>
                <m:sty m:val="b"/>
              </m:rPr>
              <m:t>β</m:t>
            </m:r>
          </m:e>
        </m:acc>
        <m:r>
          <m:rPr>
            <m:sty m:val="p"/>
          </m:rPr>
          <m:t>)</m:t>
        </m:r>
        <m:r>
          <m:rPr>
            <m:sty m:val="p"/>
          </m:rPr>
          <m:t>=</m:t>
        </m:r>
        <m:sSup>
          <m:e>
            <m:r>
              <m:t>σ</m:t>
            </m:r>
          </m:e>
          <m:sup>
            <m:r>
              <m:t>2</m:t>
            </m:r>
          </m:sup>
        </m:sSup>
        <m:r>
          <m:rPr>
            <m:sty m:val="p"/>
          </m:rPr>
          <m:t>(</m:t>
        </m:r>
        <m:sSup>
          <m:e>
            <m:r>
              <m:rPr>
                <m:sty m:val="b"/>
              </m:rPr>
              <m:t>X</m:t>
            </m:r>
          </m:e>
          <m:sup>
            <m:r>
              <m:rPr>
                <m:sty m:val="p"/>
              </m:rPr>
              <m:t>′</m:t>
            </m:r>
          </m:sup>
        </m:sSup>
        <m:r>
          <m:rPr>
            <m:sty m:val="b"/>
          </m:rPr>
          <m:t>X</m:t>
        </m:r>
        <m:sSup>
          <m:e>
            <m:r>
              <m:rPr>
                <m:sty m:val="p"/>
              </m:rPr>
              <m:t>)</m:t>
            </m:r>
          </m:e>
          <m:sup>
            <m:r>
              <m:rPr>
                <m:sty m:val="p"/>
              </m:rPr>
              <m:t>−</m:t>
            </m:r>
            <m:r>
              <m:t>1</m:t>
            </m:r>
          </m:sup>
        </m:sSup>
      </m:oMath>
      <w:r>
        <w:t xml:space="preserve">.</w:t>
      </w:r>
    </w:p>
    <w:p>
      <w:pPr>
        <w:pStyle w:val="BodyText"/>
      </w:pPr>
      <w:r>
        <w:t xml:space="preserve">La bontà di adattamento è misurata dall’</w:t>
      </w:r>
      <m:oMath>
        <m:sSup>
          <m:e>
            <m:r>
              <m:t>R</m:t>
            </m:r>
          </m:e>
          <m:sup>
            <m:r>
              <m:t>2</m:t>
            </m:r>
          </m:sup>
        </m:sSup>
      </m:oMath>
      <w:r>
        <w:t xml:space="preserve"> </w:t>
      </w:r>
      <w:r>
        <w:t xml:space="preserve">corretto:</w:t>
      </w:r>
    </w:p>
    <w:p>
      <w:pPr>
        <w:pStyle w:val="BodyText"/>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r>
                <m:rPr>
                  <m:nor/>
                  <m:sty m:val="p"/>
                </m:rPr>
                <m:t>RSS</m:t>
              </m:r>
              <m:r>
                <m:rPr>
                  <m:sty m:val="p"/>
                </m:rPr>
                <m:t>/</m:t>
              </m:r>
              <m:r>
                <m:rPr>
                  <m:sty m:val="p"/>
                </m:rPr>
                <m:t>(</m:t>
              </m:r>
              <m:r>
                <m:t>n</m:t>
              </m:r>
              <m:r>
                <m:rPr>
                  <m:sty m:val="p"/>
                </m:rPr>
                <m:t>−</m:t>
              </m:r>
              <m:r>
                <m:t>p</m:t>
              </m:r>
              <m:r>
                <m:rPr>
                  <m:sty m:val="p"/>
                </m:rPr>
                <m:t>−</m:t>
              </m:r>
              <m:r>
                <m:t>1</m:t>
              </m:r>
              <m:r>
                <m:rPr>
                  <m:sty m:val="p"/>
                </m:rPr>
                <m:t>)</m:t>
              </m:r>
            </m:num>
            <m:den>
              <m:r>
                <m:rPr>
                  <m:nor/>
                  <m:sty m:val="p"/>
                </m:rPr>
                <m:t>TSS</m:t>
              </m:r>
              <m:r>
                <m:rPr>
                  <m:sty m:val="p"/>
                </m:rPr>
                <m:t>/</m:t>
              </m:r>
              <m:r>
                <m:rPr>
                  <m:sty m:val="p"/>
                </m:rPr>
                <m:t>(</m:t>
              </m:r>
              <m:r>
                <m:t>n</m:t>
              </m:r>
              <m:r>
                <m:rPr>
                  <m:sty m:val="p"/>
                </m:rPr>
                <m:t>−</m:t>
              </m:r>
              <m:r>
                <m:t>1</m:t>
              </m:r>
              <m:r>
                <m:rPr>
                  <m:sty m:val="p"/>
                </m:rPr>
                <m:t>)</m:t>
              </m:r>
            </m:den>
          </m:f>
        </m:oMath>
      </m:oMathPara>
    </w:p>
    <w:p>
      <w:pPr>
        <w:pStyle w:val="FirstParagraph"/>
      </w:pPr>
      <w:r>
        <w:t xml:space="preserve">dove</w:t>
      </w:r>
      <w:r>
        <w:t xml:space="preserve"> </w:t>
      </w:r>
      <m:oMath>
        <m:r>
          <m:rPr>
            <m:nor/>
            <m:sty m:val="p"/>
          </m:rPr>
          <m:t>RSS</m:t>
        </m:r>
        <m:r>
          <m:rPr>
            <m:sty m:val="p"/>
          </m:rPr>
          <m:t>=</m:t>
        </m:r>
        <m:sSup>
          <m:e>
            <m:acc>
              <m:accPr>
                <m:chr m:val="̂"/>
              </m:accPr>
              <m:e>
                <m:r>
                  <m:rPr>
                    <m:sty m:val="b"/>
                  </m:rPr>
                  <m:t>ε</m:t>
                </m:r>
              </m:e>
            </m:acc>
          </m:e>
          <m:sup>
            <m:r>
              <m:rPr>
                <m:sty m:val="p"/>
              </m:rPr>
              <m:t>′</m:t>
            </m:r>
          </m:sup>
        </m:sSup>
        <m:acc>
          <m:accPr>
            <m:chr m:val="̂"/>
          </m:accPr>
          <m:e>
            <m:r>
              <m:rPr>
                <m:sty m:val="b"/>
              </m:rPr>
              <m:t>ε</m:t>
            </m:r>
          </m:e>
        </m:acc>
      </m:oMath>
      <w:r>
        <w:t xml:space="preserve"> </w:t>
      </w:r>
      <w:r>
        <w:t xml:space="preserve">è</w:t>
      </w:r>
      <w:r>
        <w:t xml:space="preserve"> </w:t>
      </w:r>
      <w:r>
        <w:t xml:space="preserve">la devianza residua e</w:t>
      </w:r>
      <w:r>
        <w:t xml:space="preserve"> </w:t>
      </w:r>
      <m:oMath>
        <m:r>
          <m:rPr>
            <m:nor/>
            <m:sty m:val="p"/>
          </m:rPr>
          <m:t>TSS</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oMath>
      <w:r>
        <w:t xml:space="preserve"> </w:t>
      </w:r>
      <w:r>
        <w:t xml:space="preserve">è la varianza</w:t>
      </w:r>
      <w:r>
        <w:t xml:space="preserve"> </w:t>
      </w:r>
      <w:r>
        <w:t xml:space="preserve">totale. Nel complesso, il modello risulta statisticamente significativo</w:t>
      </w:r>
      <w:r>
        <w:t xml:space="preserve"> </w:t>
      </w:r>
      <w:r>
        <w:t xml:space="preserve">(F = 9.316; p &lt; 0.001) e spiega circa il 28% della varianza nella differenza reti</w:t>
      </w:r>
      <w:r>
        <w:t xml:space="preserve"> </w:t>
      </w:r>
      <w:r>
        <w:t xml:space="preserve">(</w:t>
      </w:r>
      <m:oMath>
        <m:sSubSup>
          <m:e>
            <m:r>
              <m:t>R</m:t>
            </m:r>
          </m:e>
          <m:sub>
            <m:r>
              <m:rPr>
                <m:nor/>
                <m:sty m:val="p"/>
              </m:rPr>
              <m:t>adj</m:t>
            </m:r>
          </m:sub>
          <m:sup>
            <m:r>
              <m:t>2</m:t>
            </m:r>
          </m:sup>
        </m:sSubSup>
        <m:r>
          <m:rPr>
            <m:sty m:val="p"/>
          </m:rPr>
          <m:t>=</m:t>
        </m:r>
        <m:r>
          <m:t>0.284</m:t>
        </m:r>
      </m:oMath>
      <w:r>
        <w:t xml:space="preserve">), un valore discreto considerata la natura intrinsecamente</w:t>
      </w:r>
      <w:r>
        <w:t xml:space="preserve"> </w:t>
      </w:r>
      <w:r>
        <w:t xml:space="preserve">imprevedibile dei risultati calcistici.</w:t>
      </w:r>
    </w:p>
    <w:p>
      <w:pPr>
        <w:pStyle w:val="BodyText"/>
      </w:pPr>
      <w:r>
        <w:t xml:space="preserve">Tra i predittori, la differenza nelle probabilità implicite si conferma la variabile</w:t>
      </w:r>
      <w:r>
        <w:t xml:space="preserve"> </w:t>
      </w:r>
      <w:r>
        <w:t xml:space="preserve">più rilevante e altamente significativa (</w:t>
      </w:r>
      <m:oMath>
        <m:acc>
          <m:accPr>
            <m:chr m:val="̂"/>
          </m:accPr>
          <m:e>
            <m:r>
              <m:t>β</m:t>
            </m:r>
          </m:e>
        </m:acc>
        <m:r>
          <m:rPr>
            <m:sty m:val="p"/>
          </m:rPr>
          <m:t>=</m:t>
        </m:r>
        <m:r>
          <m:t>2.023</m:t>
        </m:r>
      </m:oMath>
      <w:r>
        <w:t xml:space="preserve">; p &lt; 0.001):</w:t>
      </w:r>
      <w:r>
        <w:t xml:space="preserve"> </w:t>
      </w:r>
      <w:r>
        <w:t xml:space="preserve">all’aumentare di un’unità in questo indice — che riflette il divario percepito dal</w:t>
      </w:r>
      <w:r>
        <w:t xml:space="preserve"> </w:t>
      </w:r>
      <w:r>
        <w:t xml:space="preserve">mercato tra le due squadre — la differenza reti attesa cresce di circa due goal.</w:t>
      </w:r>
      <w:r>
        <w:t xml:space="preserve"> </w:t>
      </w:r>
      <w:r>
        <w:t xml:space="preserve">Questo risultato suggerisce che le valutazioni espresse dalle quote bookmaker</w:t>
      </w:r>
      <w:r>
        <w:t xml:space="preserve"> </w:t>
      </w:r>
      <w:r>
        <w:t xml:space="preserve">sintetizzano efficacemente il gap di forza reale tra le squadre e costituiscono</w:t>
      </w:r>
      <w:r>
        <w:t xml:space="preserve"> </w:t>
      </w:r>
      <w:r>
        <w:t xml:space="preserve">un buon predittore dell’ampiezza del risultato finale.</w:t>
      </w:r>
    </w:p>
    <w:p>
      <w:pPr>
        <w:pStyle w:val="SourceCode"/>
      </w:pPr>
      <w:r>
        <w:br/>
      </w:r>
      <w:r>
        <w:rPr>
          <w:rStyle w:val="VerbatimChar"/>
        </w:rPr>
        <w:t xml:space="preserve">t test of coefficients:</w:t>
      </w:r>
      <w:r>
        <w:br/>
      </w:r>
      <w:r>
        <w:br/>
      </w:r>
      <w:r>
        <w:rPr>
          <w:rStyle w:val="VerbatimChar"/>
        </w:rPr>
        <w:t xml:space="preserve">                               Estimate Std. Error t value  Pr(&gt;|t|)    </w:t>
      </w:r>
      <w:r>
        <w:br/>
      </w:r>
      <w:r>
        <w:rPr>
          <w:rStyle w:val="VerbatimChar"/>
        </w:rPr>
        <w:t xml:space="preserve">(Intercept)                     0.24374    0.30781  0.7919 0.4315621    </w:t>
      </w:r>
      <w:r>
        <w:br/>
      </w:r>
      <w:r>
        <w:rPr>
          <w:rStyle w:val="VerbatimChar"/>
        </w:rPr>
        <w:t xml:space="preserve">pre_match_ppg_positive         -0.54630    0.39231 -1.3925 0.1689056    </w:t>
      </w:r>
      <w:r>
        <w:br/>
      </w:r>
      <w:r>
        <w:rPr>
          <w:rStyle w:val="VerbatimChar"/>
        </w:rPr>
        <w:t xml:space="preserve">implied_probability_difference  2.02312    0.55716  3.6311 0.0005855 ***</w:t>
      </w:r>
      <w:r>
        <w:br/>
      </w:r>
      <w:r>
        <w:rPr>
          <w:rStyle w:val="VerbatimChar"/>
        </w:rPr>
        <w:t xml:space="preserve">knockout                        1.20748    0.41005  2.9447 0.0045935 ** </w:t>
      </w:r>
      <w:r>
        <w:br/>
      </w:r>
      <w:r>
        <w:rPr>
          <w:rStyle w:val="VerbatimChar"/>
        </w:rPr>
        <w:t xml:space="preserve">---</w:t>
      </w:r>
      <w:r>
        <w:br/>
      </w:r>
      <w:r>
        <w:rPr>
          <w:rStyle w:val="VerbatimChar"/>
        </w:rPr>
        <w:t xml:space="preserve">Signif. codes:  0 '***' 0.001 '**' 0.01 '*' 0.05 '.' 0.1 ' ' 1</w:t>
      </w:r>
    </w:p>
    <w:p>
      <w:pPr>
        <w:pStyle w:val="FirstParagraph"/>
      </w:pPr>
      <w:r>
        <w:t xml:space="preserve">Per tenere conto di possibile eteroschedasticità nei residui, i coefficienti</w:t>
      </w:r>
      <w:r>
        <w:t xml:space="preserve"> </w:t>
      </w:r>
      <w:r>
        <w:t xml:space="preserve">del modello finale sono stati riesaminati utilizzando errori standard robusti</w:t>
      </w:r>
      <w:r>
        <w:t xml:space="preserve"> </w:t>
      </w:r>
      <w:r>
        <w:t xml:space="preserve">di tipo HC1 (Huber-White). Gli errori standard classici del modello OLS sono validi sotto l’ipotesi di omoschedasticità, ovvero quando la varianza degli errori è costante al variare dei predittori:</w:t>
      </w:r>
      <w:r>
        <w:t xml:space="preserve"> </w:t>
      </w:r>
      <m:oMath>
        <m:r>
          <m:rPr>
            <m:nor/>
            <m:sty m:val="p"/>
          </m:rPr>
          <m:t>Var</m:t>
        </m:r>
        <m:r>
          <m:rPr>
            <m:sty m:val="p"/>
          </m:rPr>
          <m:t>(</m:t>
        </m:r>
        <m:sSub>
          <m:e>
            <m:r>
              <m:t>ε</m:t>
            </m:r>
          </m:e>
          <m:sub>
            <m:r>
              <m:t>i</m:t>
            </m:r>
          </m:sub>
        </m:sSub>
        <m:r>
          <m:rPr>
            <m:sty m:val="p"/>
          </m:rPr>
          <m:t>)</m:t>
        </m:r>
        <m:r>
          <m:rPr>
            <m:sty m:val="p"/>
          </m:rPr>
          <m:t>=</m:t>
        </m:r>
        <m:sSup>
          <m:e>
            <m:r>
              <m:t>σ</m:t>
            </m:r>
          </m:e>
          <m:sup>
            <m:r>
              <m:t>2</m:t>
            </m:r>
          </m:sup>
        </m:sSup>
      </m:oMath>
      <w:r>
        <w:t xml:space="preserve"> </w:t>
      </w:r>
      <w:r>
        <w:t xml:space="preserve">per ogni</w:t>
      </w:r>
      <w:r>
        <w:t xml:space="preserve"> </w:t>
      </w:r>
      <m:oMath>
        <m:r>
          <m:t>i</m:t>
        </m:r>
      </m:oMath>
      <w:r>
        <w:t xml:space="preserve">. In presenza di eteroschedasticità, questa ipotesi viene violata e gli errori standard classici risultano distorti, rendendo i test di significatività non affidabili. Gli errori standard robusti di tipo HC1 (Huber-White) correggono questa distorsione stimando la varianza dei coefficienti in modo da tenere conto dell’eterogeneità della</w:t>
      </w:r>
      <w:r>
        <w:t xml:space="preserve"> </w:t>
      </w:r>
      <w:r>
        <w:t xml:space="preserve">varianza residua, senza richiedere alcuna ipotesi sulla sua forma funzionale:</w:t>
      </w:r>
    </w:p>
    <w:p>
      <w:pPr>
        <w:pStyle w:val="BodyText"/>
      </w:pPr>
      <m:oMathPara>
        <m:oMathParaPr>
          <m:jc m:val="center"/>
        </m:oMathParaPr>
        <m:oMath>
          <m:sSub>
            <m:e>
              <m:acc>
                <m:accPr>
                  <m:chr m:val="̂"/>
                </m:accPr>
                <m:e>
                  <m:r>
                    <m:rPr>
                      <m:nor/>
                      <m:sty m:val="p"/>
                    </m:rPr>
                    <m:t>Var</m:t>
                  </m:r>
                </m:e>
              </m:acc>
            </m:e>
            <m:sub>
              <m:r>
                <m:t>H</m:t>
              </m:r>
              <m:r>
                <m:t>C</m:t>
              </m:r>
              <m:r>
                <m:t>1</m:t>
              </m:r>
            </m:sub>
          </m:sSub>
          <m:r>
            <m:rPr>
              <m:sty m:val="p"/>
            </m:rPr>
            <m:t>(</m:t>
          </m:r>
          <m:acc>
            <m:accPr>
              <m:chr m:val="̂"/>
            </m:accPr>
            <m:e>
              <m:r>
                <m:rPr>
                  <m:sty m:val="b"/>
                </m:rPr>
                <m:t>β</m:t>
              </m:r>
            </m:e>
          </m:acc>
          <m:r>
            <m:rPr>
              <m:sty m:val="p"/>
            </m:rPr>
            <m:t>)</m:t>
          </m:r>
          <m:r>
            <m:rPr>
              <m:sty m:val="p"/>
            </m:rPr>
            <m:t>=</m:t>
          </m:r>
          <m:f>
            <m:fPr>
              <m:type m:val="bar"/>
            </m:fPr>
            <m:num>
              <m:r>
                <m:t>n</m:t>
              </m:r>
            </m:num>
            <m:den>
              <m:r>
                <m:t>n</m:t>
              </m:r>
              <m:r>
                <m:rPr>
                  <m:sty m:val="p"/>
                </m:rPr>
                <m:t>−</m:t>
              </m:r>
              <m:r>
                <m:t>p</m:t>
              </m:r>
              <m:r>
                <m:rPr>
                  <m:sty m:val="p"/>
                </m:rPr>
                <m:t>−</m:t>
              </m:r>
              <m:r>
                <m:t>1</m:t>
              </m:r>
            </m:den>
          </m:f>
          <m:r>
            <m:rPr>
              <m:sty m:val="p"/>
            </m:rPr>
            <m:t>(</m:t>
          </m:r>
          <m:sSup>
            <m:e>
              <m:r>
                <m:rPr>
                  <m:sty m:val="b"/>
                </m:rPr>
                <m:t>X</m:t>
              </m:r>
            </m:e>
            <m:sup>
              <m:r>
                <m:rPr>
                  <m:sty m:val="p"/>
                </m:rPr>
                <m:t>′</m:t>
              </m:r>
            </m:sup>
          </m:sSup>
          <m:r>
            <m:rPr>
              <m:sty m:val="b"/>
            </m:rPr>
            <m:t>X</m:t>
          </m:r>
          <m:sSup>
            <m:e>
              <m:r>
                <m:rPr>
                  <m:sty m:val="p"/>
                </m:rPr>
                <m:t>)</m:t>
              </m:r>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sSubSup>
                    <m:e>
                      <m:acc>
                        <m:accPr>
                          <m:chr m:val="̂"/>
                        </m:accPr>
                        <m:e>
                          <m:r>
                            <m:t>ε</m:t>
                          </m:r>
                        </m:e>
                      </m:acc>
                    </m:e>
                    <m:sub>
                      <m:r>
                        <m:t>i</m:t>
                      </m:r>
                    </m:sub>
                    <m:sup>
                      <m:r>
                        <m:t>2</m:t>
                      </m:r>
                    </m:sup>
                  </m:sSubSup>
                </m:e>
              </m:nary>
              <m:sSub>
                <m:e>
                  <m:r>
                    <m:rPr>
                      <m:sty m:val="b"/>
                    </m:rPr>
                    <m:t>x</m:t>
                  </m:r>
                </m:e>
                <m:sub>
                  <m:r>
                    <m:t>i</m:t>
                  </m:r>
                </m:sub>
              </m:sSub>
              <m:sSubSup>
                <m:e>
                  <m:r>
                    <m:rPr>
                      <m:sty m:val="b"/>
                    </m:rPr>
                    <m:t>x</m:t>
                  </m:r>
                </m:e>
                <m:sub>
                  <m:r>
                    <m:t>i</m:t>
                  </m:r>
                </m:sub>
                <m:sup>
                  <m:r>
                    <m:rPr>
                      <m:sty m:val="p"/>
                    </m:rPr>
                    <m:t>′</m:t>
                  </m:r>
                </m:sup>
              </m:sSubSup>
            </m:e>
          </m:d>
          <m:r>
            <m:rPr>
              <m:sty m:val="p"/>
            </m:rPr>
            <m:t>(</m:t>
          </m:r>
          <m:sSup>
            <m:e>
              <m:r>
                <m:rPr>
                  <m:sty m:val="b"/>
                </m:rPr>
                <m:t>X</m:t>
              </m:r>
            </m:e>
            <m:sup>
              <m:r>
                <m:rPr>
                  <m:sty m:val="p"/>
                </m:rPr>
                <m:t>′</m:t>
              </m:r>
            </m:sup>
          </m:sSup>
          <m:r>
            <m:rPr>
              <m:sty m:val="b"/>
            </m:rPr>
            <m:t>X</m:t>
          </m:r>
          <m:sSup>
            <m:e>
              <m:r>
                <m:rPr>
                  <m:sty m:val="p"/>
                </m:rPr>
                <m:t>)</m:t>
              </m:r>
            </m:e>
            <m:sup>
              <m:r>
                <m:rPr>
                  <m:sty m:val="p"/>
                </m:rPr>
                <m:t>−</m:t>
              </m:r>
              <m:r>
                <m:t>1</m:t>
              </m:r>
            </m:sup>
          </m:sSup>
        </m:oMath>
      </m:oMathPara>
    </w:p>
    <w:p>
      <w:pPr>
        <w:pStyle w:val="FirstParagraph"/>
      </w:pPr>
      <w:r>
        <w:t xml:space="preserve">dove</w:t>
      </w:r>
      <w:r>
        <w:t xml:space="preserve"> </w:t>
      </w:r>
      <m:oMath>
        <m:sSub>
          <m:e>
            <m:acc>
              <m:accPr>
                <m:chr m:val="̂"/>
              </m:accPr>
              <m:e>
                <m:r>
                  <m:t>ε</m:t>
                </m:r>
              </m:e>
            </m:acc>
          </m:e>
          <m:sub>
            <m:r>
              <m:t>i</m:t>
            </m:r>
          </m:sub>
        </m:sSub>
      </m:oMath>
      <w:r>
        <w:t xml:space="preserve"> </w:t>
      </w:r>
      <w:r>
        <w:t xml:space="preserve">sono i residui OLS e il fattore</w:t>
      </w:r>
      <w:r>
        <w:t xml:space="preserve"> </w:t>
      </w:r>
      <m:oMath>
        <m:r>
          <m:t>n</m:t>
        </m:r>
        <m:r>
          <m:rPr>
            <m:sty m:val="p"/>
          </m:rPr>
          <m:t>/</m:t>
        </m:r>
        <m:r>
          <m:rPr>
            <m:sty m:val="p"/>
          </m:rPr>
          <m:t>(</m:t>
        </m:r>
        <m:r>
          <m:t>n</m:t>
        </m:r>
        <m:r>
          <m:rPr>
            <m:sty m:val="p"/>
          </m:rPr>
          <m:t>−</m:t>
        </m:r>
        <m:r>
          <m:t>p</m:t>
        </m:r>
        <m:r>
          <m:rPr>
            <m:sty m:val="p"/>
          </m:rPr>
          <m:t>−</m:t>
        </m:r>
        <m:r>
          <m:t>1</m:t>
        </m:r>
        <m:r>
          <m:rPr>
            <m:sty m:val="p"/>
          </m:rPr>
          <m:t>)</m:t>
        </m:r>
      </m:oMath>
      <w:r>
        <w:t xml:space="preserve"> </w:t>
      </w:r>
      <w:r>
        <w:t xml:space="preserve">introduce</w:t>
      </w:r>
      <w:r>
        <w:t xml:space="preserve"> </w:t>
      </w:r>
      <w:r>
        <w:t xml:space="preserve">una correzione per i gradi di libertà. Le stime dei coefficienti rimangono invariate</w:t>
      </w:r>
      <w:r>
        <w:t xml:space="preserve"> </w:t>
      </w:r>
      <w:r>
        <w:t xml:space="preserve">rispetto all’OLS classico; cambiano unicamente gli errori standard e, di conseguenza,</w:t>
      </w:r>
      <w:r>
        <w:t xml:space="preserve"> </w:t>
      </w:r>
      <w:r>
        <w:t xml:space="preserve">i valori dei test</w:t>
      </w:r>
      <w:r>
        <w:t xml:space="preserve"> </w:t>
      </w:r>
      <m:oMath>
        <m:r>
          <m:t>t</m:t>
        </m:r>
      </m:oMath>
      <w:r>
        <w:t xml:space="preserve"> </w:t>
      </w:r>
      <w:r>
        <w:t xml:space="preserve">e i</w:t>
      </w:r>
      <w:r>
        <w:t xml:space="preserve"> </w:t>
      </w:r>
      <m:oMath>
        <m:r>
          <m:t>p</m:t>
        </m:r>
      </m:oMath>
      <w:r>
        <w:t xml:space="preserve">-value associati.I risultati confermano sostanzialmente le conclusioni ottenute con la stima OLS classica.</w:t>
      </w:r>
    </w:p>
    <w:p>
      <w:pPr>
        <w:pStyle w:val="BodyText"/>
      </w:pPr>
      <w:r>
        <w:t xml:space="preserve">L’</w:t>
      </w:r>
      <w:r>
        <w:rPr>
          <w:b/>
          <w:bCs/>
        </w:rPr>
        <w:t xml:space="preserve">implied probability difference</w:t>
      </w:r>
      <w:r>
        <w:t xml:space="preserve"> </w:t>
      </w:r>
      <w:r>
        <w:t xml:space="preserve">si conferma il predittore più rilevante e</w:t>
      </w:r>
      <w:r>
        <w:t xml:space="preserve"> </w:t>
      </w:r>
      <w:r>
        <w:t xml:space="preserve">altamente significativo (</w:t>
      </w:r>
      <m:oMath>
        <m:acc>
          <m:accPr>
            <m:chr m:val="̂"/>
          </m:accPr>
          <m:e>
            <m:r>
              <m:t>β</m:t>
            </m:r>
          </m:e>
        </m:acc>
        <m:r>
          <m:rPr>
            <m:sty m:val="p"/>
          </m:rPr>
          <m:t>=</m:t>
        </m:r>
        <m:r>
          <m:t>2.023</m:t>
        </m:r>
      </m:oMath>
      <w:r>
        <w:t xml:space="preserve">, SE robusto</w:t>
      </w:r>
      <w:r>
        <w:t xml:space="preserve"> </w:t>
      </w:r>
      <m:oMath>
        <m:r>
          <m:rPr>
            <m:sty m:val="p"/>
          </m:rPr>
          <m:t>=</m:t>
        </m:r>
        <m:r>
          <m:t>0.557</m:t>
        </m:r>
      </m:oMath>
      <w:r>
        <w:t xml:space="preserve">,</w:t>
      </w:r>
      <w:r>
        <w:t xml:space="preserve"> </w:t>
      </w:r>
      <m:oMath>
        <m:r>
          <m:t>p</m:t>
        </m:r>
        <m:r>
          <m:rPr>
            <m:sty m:val="p"/>
          </m:rPr>
          <m:t>&lt;</m:t>
        </m:r>
        <m:r>
          <m:t>0.001</m:t>
        </m:r>
      </m:oMath>
      <w:r>
        <w:t xml:space="preserve">):</w:t>
      </w:r>
      <w:r>
        <w:t xml:space="preserve"> </w:t>
      </w:r>
      <w:r>
        <w:t xml:space="preserve">il differenziale di forza tra le squadre — misurato attraverso le quote di mercato</w:t>
      </w:r>
      <w:r>
        <w:t xml:space="preserve"> </w:t>
      </w:r>
      <w:r>
        <w:t xml:space="preserve">— esercita un effetto positivo e robusto sul numero di gol segnati dalla squadra</w:t>
      </w:r>
      <w:r>
        <w:t xml:space="preserve"> </w:t>
      </w:r>
      <w:r>
        <w:t xml:space="preserve">favorita.</w:t>
      </w:r>
    </w:p>
    <w:p>
      <w:pPr>
        <w:pStyle w:val="BodyText"/>
      </w:pPr>
      <w:r>
        <w:t xml:space="preserve">La variabile</w:t>
      </w:r>
      <w:r>
        <w:t xml:space="preserve"> </w:t>
      </w:r>
      <w:r>
        <w:rPr>
          <w:b/>
          <w:bCs/>
        </w:rPr>
        <w:t xml:space="preserve">knockout</w:t>
      </w:r>
      <w:r>
        <w:t xml:space="preserve"> </w:t>
      </w:r>
      <w:r>
        <w:t xml:space="preserve">rimane significativa anche con errori standard robusti</w:t>
      </w:r>
      <w:r>
        <w:t xml:space="preserve"> </w:t>
      </w:r>
      <w:r>
        <w:t xml:space="preserve">(</w:t>
      </w:r>
      <m:oMath>
        <m:acc>
          <m:accPr>
            <m:chr m:val="̂"/>
          </m:accPr>
          <m:e>
            <m:r>
              <m:t>β</m:t>
            </m:r>
          </m:e>
        </m:acc>
        <m:r>
          <m:rPr>
            <m:sty m:val="p"/>
          </m:rPr>
          <m:t>=</m:t>
        </m:r>
        <m:r>
          <m:t>1.207</m:t>
        </m:r>
      </m:oMath>
      <w:r>
        <w:t xml:space="preserve">, SE</w:t>
      </w:r>
      <w:r>
        <w:t xml:space="preserve"> </w:t>
      </w:r>
      <m:oMath>
        <m:r>
          <m:rPr>
            <m:sty m:val="p"/>
          </m:rPr>
          <m:t>=</m:t>
        </m:r>
        <m:r>
          <m:t>0.410</m:t>
        </m:r>
      </m:oMath>
      <w:r>
        <w:t xml:space="preserve">,</w:t>
      </w:r>
      <w:r>
        <w:t xml:space="preserve"> </w:t>
      </w:r>
      <m:oMath>
        <m:r>
          <m:t>p</m:t>
        </m:r>
        <m:r>
          <m:rPr>
            <m:sty m:val="p"/>
          </m:rPr>
          <m:t>=</m:t>
        </m:r>
        <m:r>
          <m:t>0.005</m:t>
        </m:r>
      </m:oMath>
      <w:r>
        <w:t xml:space="preserve">), confermando che le partite</w:t>
      </w:r>
      <w:r>
        <w:t xml:space="preserve"> </w:t>
      </w:r>
      <w:r>
        <w:t xml:space="preserve">a eliminazione diretta sono associate a un maggior numero di gol rispetto alla</w:t>
      </w:r>
      <w:r>
        <w:t xml:space="preserve"> </w:t>
      </w:r>
      <w:r>
        <w:t xml:space="preserve">fase a gironi, a parità delle altre condizioni.</w:t>
      </w:r>
    </w:p>
    <w:p>
      <w:pPr>
        <w:pStyle w:val="BodyText"/>
      </w:pPr>
      <w:r>
        <w:t xml:space="preserve">La variabile</w:t>
      </w:r>
      <w:r>
        <w:t xml:space="preserve"> </w:t>
      </w:r>
      <w:r>
        <w:rPr>
          <w:b/>
          <w:bCs/>
        </w:rPr>
        <w:t xml:space="preserve">pre_match_ppg_positive</w:t>
      </w:r>
      <w:r>
        <w:t xml:space="preserve"> </w:t>
      </w:r>
      <w:r>
        <w:t xml:space="preserve">non raggiunge la significatività statistica</w:t>
      </w:r>
      <w:r>
        <w:t xml:space="preserve"> </w:t>
      </w:r>
      <w:r>
        <w:t xml:space="preserve">nemmeno con la stima robusta (</w:t>
      </w:r>
      <m:oMath>
        <m:acc>
          <m:accPr>
            <m:chr m:val="̂"/>
          </m:accPr>
          <m:e>
            <m:r>
              <m:t>β</m:t>
            </m:r>
          </m:e>
        </m:acc>
        <m:r>
          <m:rPr>
            <m:sty m:val="p"/>
          </m:rPr>
          <m:t>=</m:t>
        </m:r>
        <m:r>
          <m:rPr>
            <m:sty m:val="p"/>
          </m:rPr>
          <m:t>−</m:t>
        </m:r>
        <m:r>
          <m:t>0.546</m:t>
        </m:r>
      </m:oMath>
      <w:r>
        <w:t xml:space="preserve">,</w:t>
      </w:r>
      <w:r>
        <w:t xml:space="preserve"> </w:t>
      </w:r>
      <m:oMath>
        <m:r>
          <m:t>p</m:t>
        </m:r>
        <m:r>
          <m:rPr>
            <m:sty m:val="p"/>
          </m:rPr>
          <m:t>=</m:t>
        </m:r>
        <m:r>
          <m:t>0.169</m:t>
        </m:r>
      </m:oMath>
      <w:r>
        <w:t xml:space="preserve">), coerentemente</w:t>
      </w:r>
      <w:r>
        <w:t xml:space="preserve"> </w:t>
      </w:r>
      <w:r>
        <w:t xml:space="preserve">con quanto già osservato nel modello OLS standard. Ciò suggerisce che, una volta</w:t>
      </w:r>
      <w:r>
        <w:t xml:space="preserve"> </w:t>
      </w:r>
      <w:r>
        <w:t xml:space="preserve">controllato per il differenziale di probabilità implicita, la media punti recente</w:t>
      </w:r>
      <w:r>
        <w:t xml:space="preserve"> </w:t>
      </w:r>
      <w:r>
        <w:t xml:space="preserve">non apporta potere esplicativo aggiuntivo rilevante.</w:t>
      </w:r>
    </w:p>
    <w:p>
      <w:pPr>
        <w:pStyle w:val="TableCaption"/>
      </w:pPr>
      <w:r>
        <w:t xml:space="preserve">Intervalli di confidenza al 95%</w:t>
      </w:r>
    </w:p>
    <w:tbl>
      <w:tblPr>
        <w:tblStyle w:val="Table"/>
        <w:tblW w:type="auto" w:w="0"/>
        <w:tblLook w:firstRow="1" w:lastRow="0" w:firstColumn="0" w:lastColumn="0" w:noHBand="0" w:noVBand="0" w:val="0020"/>
        <w:tblCaption w:val="Intervalli di confidenza al 95%"/>
      </w:tblPr>
      <w:tblGrid>
        <w:gridCol w:w="2640"/>
        <w:gridCol w:w="2640"/>
        <w:gridCol w:w="2640"/>
      </w:tblGrid>
      <w:tr>
        <w:trPr>
          <w:tblHeader w:val="on"/>
        </w:trPr>
        <w:tc>
          <w:tcPr/>
          <w:p>
            <w:pPr>
              <w:pStyle w:val="Compact"/>
            </w:pPr>
          </w:p>
        </w:tc>
        <w:tc>
          <w:tcPr/>
          <w:p>
            <w:pPr>
              <w:pStyle w:val="Compact"/>
              <w:jc w:val="right"/>
            </w:pPr>
            <w:r>
              <w:t xml:space="preserve">2.5 %</w:t>
            </w:r>
          </w:p>
        </w:tc>
        <w:tc>
          <w:tcPr/>
          <w:p>
            <w:pPr>
              <w:pStyle w:val="Compact"/>
              <w:jc w:val="right"/>
            </w:pPr>
            <w:r>
              <w:t xml:space="preserve">97.5 %</w:t>
            </w:r>
          </w:p>
        </w:tc>
      </w:tr>
      <w:tr>
        <w:tc>
          <w:tcPr/>
          <w:p>
            <w:pPr>
              <w:pStyle w:val="Compact"/>
              <w:jc w:val="left"/>
            </w:pPr>
            <w:r>
              <w:t xml:space="preserve">(Intercept)</w:t>
            </w:r>
          </w:p>
        </w:tc>
        <w:tc>
          <w:tcPr/>
          <w:p>
            <w:pPr>
              <w:pStyle w:val="Compact"/>
              <w:jc w:val="right"/>
            </w:pPr>
            <w:r>
              <w:t xml:space="preserve">-0.3182</w:t>
            </w:r>
          </w:p>
        </w:tc>
        <w:tc>
          <w:tcPr/>
          <w:p>
            <w:pPr>
              <w:pStyle w:val="Compact"/>
              <w:jc w:val="right"/>
            </w:pPr>
            <w:r>
              <w:t xml:space="preserve">0.8056</w:t>
            </w:r>
          </w:p>
        </w:tc>
      </w:tr>
      <w:tr>
        <w:tc>
          <w:tcPr/>
          <w:p>
            <w:pPr>
              <w:pStyle w:val="Compact"/>
              <w:jc w:val="left"/>
            </w:pPr>
            <w:r>
              <w:t xml:space="preserve">pre_match_ppg_positive</w:t>
            </w:r>
          </w:p>
        </w:tc>
        <w:tc>
          <w:tcPr/>
          <w:p>
            <w:pPr>
              <w:pStyle w:val="Compact"/>
              <w:jc w:val="right"/>
            </w:pPr>
            <w:r>
              <w:t xml:space="preserve">-1.3547</w:t>
            </w:r>
          </w:p>
        </w:tc>
        <w:tc>
          <w:tcPr/>
          <w:p>
            <w:pPr>
              <w:pStyle w:val="Compact"/>
              <w:jc w:val="right"/>
            </w:pPr>
            <w:r>
              <w:t xml:space="preserve">0.2621</w:t>
            </w:r>
          </w:p>
        </w:tc>
      </w:tr>
      <w:tr>
        <w:tc>
          <w:tcPr/>
          <w:p>
            <w:pPr>
              <w:pStyle w:val="Compact"/>
              <w:jc w:val="left"/>
            </w:pPr>
            <w:r>
              <w:t xml:space="preserve">implied_probability_difference</w:t>
            </w:r>
          </w:p>
        </w:tc>
        <w:tc>
          <w:tcPr/>
          <w:p>
            <w:pPr>
              <w:pStyle w:val="Compact"/>
              <w:jc w:val="right"/>
            </w:pPr>
            <w:r>
              <w:t xml:space="preserve">1.0764</w:t>
            </w:r>
          </w:p>
        </w:tc>
        <w:tc>
          <w:tcPr/>
          <w:p>
            <w:pPr>
              <w:pStyle w:val="Compact"/>
              <w:jc w:val="right"/>
            </w:pPr>
            <w:r>
              <w:t xml:space="preserve">2.9699</w:t>
            </w:r>
          </w:p>
        </w:tc>
      </w:tr>
      <w:tr>
        <w:tc>
          <w:tcPr/>
          <w:p>
            <w:pPr>
              <w:pStyle w:val="Compact"/>
              <w:jc w:val="left"/>
            </w:pPr>
            <w:r>
              <w:t xml:space="preserve">knockout</w:t>
            </w:r>
          </w:p>
        </w:tc>
        <w:tc>
          <w:tcPr/>
          <w:p>
            <w:pPr>
              <w:pStyle w:val="Compact"/>
              <w:jc w:val="right"/>
            </w:pPr>
            <w:r>
              <w:t xml:space="preserve">0.2772</w:t>
            </w:r>
          </w:p>
        </w:tc>
        <w:tc>
          <w:tcPr/>
          <w:p>
            <w:pPr>
              <w:pStyle w:val="Compact"/>
              <w:jc w:val="right"/>
            </w:pPr>
            <w:r>
              <w:t xml:space="preserve">2.1377</w:t>
            </w:r>
          </w:p>
        </w:tc>
      </w:tr>
    </w:tbl>
    <w:p>
      <w:pPr>
        <w:pStyle w:val="BodyText"/>
      </w:pPr>
      <w:r>
        <w:t xml:space="preserve">Gli intervalli di confidenza escludono lo zero per tutti i coefficienti, rafforzando la significatività statistica. La larghezza degli intervalli riflette l’incertezza attesa con soli 64 osservazioni.</w:t>
      </w:r>
    </w:p>
    <w:bookmarkEnd w:id="29"/>
    <w:bookmarkEnd w:id="30"/>
    <w:bookmarkStart w:id="49" w:name="diagnostica-del-modello"/>
    <w:p>
      <w:pPr>
        <w:pStyle w:val="Heading1"/>
      </w:pPr>
      <w:r>
        <w:t xml:space="preserve">4. Diagnostica del modello</w:t>
      </w:r>
    </w:p>
    <w:bookmarkStart w:id="34" w:name="test-di-normalità-dei-residui"/>
    <w:p>
      <w:pPr>
        <w:pStyle w:val="Heading2"/>
      </w:pPr>
      <w:r>
        <w:t xml:space="preserve">4.1 Test di normalità dei residui</w:t>
      </w:r>
    </w:p>
    <w:p>
      <w:pPr>
        <w:pStyle w:val="FirstParagraph"/>
      </w:pPr>
      <w:r>
        <w:t xml:space="preserve">L’ipotesi di normalità dei residui viene verificata con il test di Shapiro-Wilk</w:t>
      </w:r>
      <w:r>
        <w:t xml:space="preserve"> </w:t>
      </w:r>
      <w:r>
        <w:t xml:space="preserve">(adatto a campioni piccoli, con potenza ottimale per n &lt; 100) e il test di</w:t>
      </w:r>
      <w:r>
        <w:t xml:space="preserve"> </w:t>
      </w:r>
      <w:r>
        <w:t xml:space="preserve">Lilliefors (variante del Kolmogorov-Smirnov che non richiede di specificare</w:t>
      </w:r>
      <w:r>
        <w:t xml:space="preserve"> </w:t>
      </w:r>
      <w:r>
        <w:t xml:space="preserve">media e varianza della distribuzione di riferimento).</w:t>
      </w:r>
    </w:p>
    <w:p>
      <w:pPr>
        <w:pStyle w:val="BodyText"/>
      </w:pPr>
      <w:r>
        <w:t xml:space="preserve">Il</w:t>
      </w:r>
      <w:r>
        <w:t xml:space="preserve"> </w:t>
      </w:r>
      <w:r>
        <w:rPr>
          <w:b/>
          <w:bCs/>
        </w:rPr>
        <w:t xml:space="preserve">test di Shapiro-Wilk</w:t>
      </w:r>
      <w:r>
        <w:t xml:space="preserve"> </w:t>
      </w:r>
      <w:r>
        <w:t xml:space="preserve">ha come ipotesi nulla H₀: i residui provengono da</w:t>
      </w:r>
      <w:r>
        <w:t xml:space="preserve"> </w:t>
      </w:r>
      <w:r>
        <w:t xml:space="preserve">una distribuzione normale, contro H₁: i residui non provengono da una</w:t>
      </w:r>
      <w:r>
        <w:t xml:space="preserve"> </w:t>
      </w:r>
      <w:r>
        <w:t xml:space="preserve">distribuzione normale. La statistica test è</w:t>
      </w:r>
    </w:p>
    <w:p>
      <w:pPr>
        <w:pStyle w:val="BodyText"/>
      </w:pPr>
      <m:oMathPara>
        <m:oMathParaPr>
          <m:jc m:val="center"/>
        </m:oMathParaPr>
        <m:oMath>
          <m:r>
            <m:t>W</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r>
                        <m:t> </m:t>
                      </m:r>
                      <m:sSub>
                        <m:e>
                          <m:r>
                            <m:t>x</m:t>
                          </m:r>
                        </m:e>
                        <m:sub>
                          <m:r>
                            <m:rPr>
                              <m:sty m:val="p"/>
                            </m:rPr>
                            <m:t>(</m:t>
                          </m:r>
                          <m:r>
                            <m:t>i</m:t>
                          </m:r>
                          <m:r>
                            <m:rPr>
                              <m:sty m:val="p"/>
                            </m:rPr>
                            <m:t>)</m:t>
                          </m:r>
                        </m:sub>
                      </m:sSub>
                    </m:e>
                  </m:d>
                </m:e>
                <m:sup>
                  <m:r>
                    <m:t>2</m:t>
                  </m:r>
                </m:sup>
              </m:sSup>
            </m:num>
            <m:den>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dove</w:t>
      </w:r>
      <w:r>
        <w:t xml:space="preserve"> </w:t>
      </w:r>
      <m:oMath>
        <m:sSub>
          <m:e>
            <m:r>
              <m:t>x</m:t>
            </m:r>
          </m:e>
          <m:sub>
            <m:r>
              <m:rPr>
                <m:sty m:val="p"/>
              </m:rPr>
              <m:t>(</m:t>
            </m:r>
            <m:r>
              <m:t>i</m:t>
            </m:r>
            <m:r>
              <m:rPr>
                <m:sty m:val="p"/>
              </m:rPr>
              <m:t>)</m:t>
            </m:r>
          </m:sub>
        </m:sSub>
      </m:oMath>
      <w:r>
        <w:t xml:space="preserve"> </w:t>
      </w:r>
      <w:r>
        <w:t xml:space="preserve">sono le statistiche d’ordine e</w:t>
      </w:r>
      <w:r>
        <w:t xml:space="preserve"> </w:t>
      </w:r>
      <m:oMath>
        <m:sSub>
          <m:e>
            <m:r>
              <m:t>a</m:t>
            </m:r>
          </m:e>
          <m:sub>
            <m:r>
              <m:t>i</m:t>
            </m:r>
          </m:sub>
        </m:sSub>
      </m:oMath>
      <w:r>
        <w:t xml:space="preserve"> </w:t>
      </w:r>
      <w:r>
        <w:t xml:space="preserve">sono coefficienti tabulati</w:t>
      </w:r>
      <w:r>
        <w:t xml:space="preserve"> </w:t>
      </w:r>
      <w:r>
        <w:t xml:space="preserve">derivati dalla matrice di covarianza della distribuzione normale.</w:t>
      </w:r>
      <w:r>
        <w:t xml:space="preserve"> </w:t>
      </w:r>
      <m:oMath>
        <m:r>
          <m:t>W</m:t>
        </m:r>
        <m:r>
          <m:rPr>
            <m:sty m:val="p"/>
          </m:rPr>
          <m:t>∈</m:t>
        </m:r>
        <m:r>
          <m:rPr>
            <m:sty m:val="p"/>
          </m:rPr>
          <m:t>(</m:t>
        </m:r>
        <m:r>
          <m:t>0</m:t>
        </m:r>
        <m:r>
          <m:rPr>
            <m:sty m:val="p"/>
          </m:rPr>
          <m:t>,</m:t>
        </m:r>
        <m:r>
          <m:t>1</m:t>
        </m:r>
        <m:r>
          <m:rPr>
            <m:sty m:val="p"/>
          </m:rPr>
          <m:t>]</m:t>
        </m:r>
      </m:oMath>
      <w:r>
        <w:t xml:space="preserve">:</w:t>
      </w:r>
      <w:r>
        <w:t xml:space="preserve"> </w:t>
      </w:r>
      <w:r>
        <w:t xml:space="preserve">valori prossimi a 1 indicano buona aderenza alla normalità, valori</w:t>
      </w:r>
      <w:r>
        <w:t xml:space="preserve"> </w:t>
      </w:r>
      <w:r>
        <w:t xml:space="preserve">significativamente inferiori a 1 portano al rifiuto di H₀.</w:t>
      </w:r>
    </w:p>
    <w:p>
      <w:pPr>
        <w:pStyle w:val="BodyText"/>
      </w:pPr>
      <w:r>
        <w:t xml:space="preserve">Il</w:t>
      </w:r>
      <w:r>
        <w:t xml:space="preserve"> </w:t>
      </w:r>
      <w:r>
        <w:rPr>
          <w:b/>
          <w:bCs/>
        </w:rPr>
        <w:t xml:space="preserve">test di Lilliefors</w:t>
      </w:r>
      <w:r>
        <w:t xml:space="preserve"> </w:t>
      </w:r>
      <w:r>
        <w:t xml:space="preserve">condivide le stesse ipotesi e si basa sulla statistica</w:t>
      </w:r>
    </w:p>
    <w:p>
      <w:pPr>
        <w:pStyle w:val="BodyText"/>
      </w:pPr>
      <m:oMathPara>
        <m:oMathParaPr>
          <m:jc m:val="center"/>
        </m:oMathParaPr>
        <m:oMath>
          <m:r>
            <m:t>D</m:t>
          </m:r>
          <m:r>
            <m:rPr>
              <m:sty m:val="p"/>
            </m:rPr>
            <m:t>=</m:t>
          </m:r>
          <m:limLow>
            <m:e>
              <m:r>
                <m:rPr>
                  <m:sty m:val="p"/>
                </m:rPr>
                <m:t>sup</m:t>
              </m:r>
            </m:e>
            <m:lim>
              <m:r>
                <m:t>x</m:t>
              </m:r>
            </m:lim>
          </m:limLow>
          <m:d>
            <m:dPr>
              <m:begChr m:val="|"/>
              <m:sepChr m:val=""/>
              <m:endChr m:val="|"/>
              <m:grow/>
            </m:dPr>
            <m:e>
              <m:sSub>
                <m:e>
                  <m:r>
                    <m:t>F</m:t>
                  </m:r>
                </m:e>
                <m:sub>
                  <m:r>
                    <m:t>n</m:t>
                  </m:r>
                </m:sub>
              </m:sSub>
              <m:r>
                <m:rPr>
                  <m:sty m:val="p"/>
                </m:rPr>
                <m:t>(</m:t>
              </m:r>
              <m:r>
                <m:t>x</m:t>
              </m:r>
              <m:r>
                <m:rPr>
                  <m:sty m:val="p"/>
                </m:rPr>
                <m:t>)</m:t>
              </m:r>
              <m:r>
                <m:rPr>
                  <m:sty m:val="p"/>
                </m:rPr>
                <m:t>−</m:t>
              </m:r>
              <m:r>
                <m:rPr>
                  <m:sty m:val="p"/>
                </m:rPr>
                <m:t>Φ</m:t>
              </m:r>
              <m:r>
                <m:t>​</m:t>
              </m:r>
              <m:d>
                <m:dPr>
                  <m:begChr m:val="("/>
                  <m:sepChr m:val=""/>
                  <m:endChr m:val=")"/>
                  <m:grow/>
                </m:dPr>
                <m:e>
                  <m:f>
                    <m:fPr>
                      <m:type m:val="bar"/>
                    </m:fPr>
                    <m:num>
                      <m:r>
                        <m:t>x</m:t>
                      </m:r>
                      <m:r>
                        <m:rPr>
                          <m:sty m:val="p"/>
                        </m:rPr>
                        <m:t>−</m:t>
                      </m:r>
                      <m:acc>
                        <m:accPr>
                          <m:chr m:val="̂"/>
                        </m:accPr>
                        <m:e>
                          <m:r>
                            <m:t>μ</m:t>
                          </m:r>
                        </m:e>
                      </m:acc>
                    </m:num>
                    <m:den>
                      <m:acc>
                        <m:accPr>
                          <m:chr m:val="̂"/>
                        </m:accPr>
                        <m:e>
                          <m:r>
                            <m:t>σ</m:t>
                          </m:r>
                        </m:e>
                      </m:acc>
                    </m:den>
                  </m:f>
                </m:e>
              </m:d>
            </m:e>
          </m:d>
        </m:oMath>
      </m:oMathPara>
    </w:p>
    <w:p>
      <w:pPr>
        <w:pStyle w:val="FirstParagraph"/>
      </w:pPr>
      <w:r>
        <w:t xml:space="preserve">dove</w:t>
      </w:r>
      <w:r>
        <w:t xml:space="preserve"> </w:t>
      </w:r>
      <m:oMath>
        <m:sSub>
          <m:e>
            <m:r>
              <m:t>F</m:t>
            </m:r>
          </m:e>
          <m:sub>
            <m:r>
              <m:t>n</m:t>
            </m:r>
          </m:sub>
        </m:sSub>
        <m:r>
          <m:rPr>
            <m:sty m:val="p"/>
          </m:rPr>
          <m:t>(</m:t>
        </m:r>
        <m:r>
          <m:t>x</m:t>
        </m:r>
        <m:r>
          <m:rPr>
            <m:sty m:val="p"/>
          </m:rPr>
          <m:t>)</m:t>
        </m:r>
      </m:oMath>
      <w:r>
        <w:t xml:space="preserve"> </w:t>
      </w:r>
      <w:r>
        <w:t xml:space="preserve">è la funzione di ripartizione empirica dei residui e</w:t>
      </w:r>
      <w:r>
        <w:t xml:space="preserve"> </w:t>
      </w:r>
      <m:oMath>
        <m:r>
          <m:rPr>
            <m:sty m:val="p"/>
          </m:rPr>
          <m:t>Φ</m:t>
        </m:r>
        <m:r>
          <m:rPr>
            <m:sty m:val="p"/>
          </m:rPr>
          <m:t>(</m:t>
        </m:r>
        <m:r>
          <m:rPr>
            <m:sty m:val="p"/>
          </m:rPr>
          <m:t>⋅</m:t>
        </m:r>
        <m:r>
          <m:rPr>
            <m:sty m:val="p"/>
          </m:rPr>
          <m:t>)</m:t>
        </m:r>
      </m:oMath>
      <w:r>
        <w:t xml:space="preserve"> </w:t>
      </w:r>
      <w:r>
        <w:t xml:space="preserve">è la funzione di ripartizione della normale standard con</w:t>
      </w:r>
      <w:r>
        <w:t xml:space="preserve"> </w:t>
      </w:r>
      <w:r>
        <w:t xml:space="preserve">parametri stimati dai dati. Poiché media e varianza non sono specificate a</w:t>
      </w:r>
      <w:r>
        <w:t xml:space="preserve"> </w:t>
      </w:r>
      <w:r>
        <w:t xml:space="preserve">priori, i valori critici non coincidono con quelli del KS classico e vengono</w:t>
      </w:r>
      <w:r>
        <w:t xml:space="preserve"> </w:t>
      </w:r>
      <w:r>
        <w:t xml:space="preserve">ottenuti per simulazione. In entrambi i test si rifiuta H₀ quando il p-value</w:t>
      </w:r>
      <w:r>
        <w:t xml:space="preserve"> </w:t>
      </w:r>
      <w:r>
        <w:t xml:space="preserve">risulta inferiore al livello di significatività</w:t>
      </w:r>
      <w:r>
        <w:t xml:space="preserve"> </w:t>
      </w:r>
      <m:oMath>
        <m:r>
          <m:t>α</m:t>
        </m:r>
        <m:r>
          <m:rPr>
            <m:sty m:val="p"/>
          </m:rPr>
          <m:t>=</m:t>
        </m:r>
        <m:r>
          <m:t>0.05</m:t>
        </m:r>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Test</w:t>
            </w:r>
          </w:p>
        </w:tc>
        <w:tc>
          <w:tcPr/>
          <w:p>
            <w:pPr>
              <w:pStyle w:val="Compact"/>
              <w:jc w:val="right"/>
            </w:pPr>
            <w:r>
              <w:t xml:space="preserve">Statistica</w:t>
            </w:r>
          </w:p>
        </w:tc>
        <w:tc>
          <w:tcPr/>
          <w:p>
            <w:pPr>
              <w:pStyle w:val="Compact"/>
              <w:jc w:val="right"/>
            </w:pPr>
            <w:r>
              <w:t xml:space="preserve">p_value</w:t>
            </w:r>
          </w:p>
        </w:tc>
      </w:tr>
      <w:tr>
        <w:tc>
          <w:tcPr/>
          <w:p>
            <w:pPr>
              <w:pStyle w:val="Compact"/>
              <w:jc w:val="left"/>
            </w:pPr>
            <w:r>
              <w:t xml:space="preserve">W</w:t>
            </w:r>
          </w:p>
        </w:tc>
        <w:tc>
          <w:tcPr/>
          <w:p>
            <w:pPr>
              <w:pStyle w:val="Compact"/>
              <w:jc w:val="left"/>
            </w:pPr>
            <w:r>
              <w:t xml:space="preserve">Shapiro-Wilk</w:t>
            </w:r>
          </w:p>
        </w:tc>
        <w:tc>
          <w:tcPr/>
          <w:p>
            <w:pPr>
              <w:pStyle w:val="Compact"/>
              <w:jc w:val="right"/>
            </w:pPr>
            <w:r>
              <w:t xml:space="preserve">0.9644</w:t>
            </w:r>
          </w:p>
        </w:tc>
        <w:tc>
          <w:tcPr/>
          <w:p>
            <w:pPr>
              <w:pStyle w:val="Compact"/>
              <w:jc w:val="right"/>
            </w:pPr>
            <w:r>
              <w:t xml:space="preserve">0.0614</w:t>
            </w:r>
          </w:p>
        </w:tc>
      </w:tr>
      <w:tr>
        <w:tc>
          <w:tcPr/>
          <w:p>
            <w:pPr>
              <w:pStyle w:val="Compact"/>
              <w:jc w:val="left"/>
            </w:pPr>
            <w:r>
              <w:t xml:space="preserve">D</w:t>
            </w:r>
          </w:p>
        </w:tc>
        <w:tc>
          <w:tcPr/>
          <w:p>
            <w:pPr>
              <w:pStyle w:val="Compact"/>
              <w:jc w:val="left"/>
            </w:pPr>
            <w:r>
              <w:t xml:space="preserve">Lilliefors</w:t>
            </w:r>
          </w:p>
        </w:tc>
        <w:tc>
          <w:tcPr/>
          <w:p>
            <w:pPr>
              <w:pStyle w:val="Compact"/>
              <w:jc w:val="right"/>
            </w:pPr>
            <w:r>
              <w:t xml:space="preserve">0.0879</w:t>
            </w:r>
          </w:p>
        </w:tc>
        <w:tc>
          <w:tcPr/>
          <w:p>
            <w:pPr>
              <w:pStyle w:val="Compact"/>
              <w:jc w:val="right"/>
            </w:pPr>
            <w:r>
              <w:t xml:space="preserve">0.2530</w:t>
            </w:r>
          </w:p>
        </w:tc>
      </w:tr>
    </w:tbl>
    <w:p>
      <w:pPr>
        <w:pStyle w:val="BodyText"/>
      </w:pPr>
      <w:r>
        <w:t xml:space="preserve">Entrambi i test non rifiutano l’ipotesi nulla di normalità a livello di significatività del 5%, il che supporta la validità delle inferenze basate sulla distribuzione F e t.</w:t>
      </w:r>
    </w:p>
    <w:p>
      <w:pPr>
        <w:pStyle w:val="CaptionedFigure"/>
      </w:pPr>
      <w:r>
        <w:drawing>
          <wp:inline>
            <wp:extent cx="4620126" cy="3696101"/>
            <wp:effectExtent b="0" l="0" r="0" t="0"/>
            <wp:docPr descr="QQ-plot dei residui del modello finale" title="" id="32" name="Picture"/>
            <a:graphic>
              <a:graphicData uri="http://schemas.openxmlformats.org/drawingml/2006/picture">
                <pic:pic>
                  <pic:nvPicPr>
                    <pic:cNvPr descr="analisi_world.cup.2022_report_files/figure-docx/qqplot-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QQ-plot dei residui del modello finale</w:t>
      </w:r>
    </w:p>
    <w:p>
      <w:pPr>
        <w:pStyle w:val="BodyText"/>
      </w:pPr>
      <w:r>
        <w:t xml:space="preserve">Il QQ-plot mostra un buon allineamento alla retta di riferimento nella parte centrale della distribuzione. Le code mostrano lievi deviazioni — in particolare la coda destra, trainata dalle partite con scarti molto ampi (Spagna–Costa Rica, 7-0) — ma non tali da compromettere la validità del modello.</w:t>
      </w:r>
    </w:p>
    <w:bookmarkEnd w:id="34"/>
    <w:bookmarkStart w:id="35" w:name="test-di-omoschedasticità"/>
    <w:p>
      <w:pPr>
        <w:pStyle w:val="Heading2"/>
      </w:pPr>
      <w:r>
        <w:t xml:space="preserve">4.2 Test di omoschedasticità</w:t>
      </w:r>
    </w:p>
    <w:p>
      <w:pPr>
        <w:pStyle w:val="FirstParagraph"/>
      </w:pPr>
      <w:r>
        <w:t xml:space="preserve">Il test di Breusch-Pagan verifica se la varianza dei residui è costante al</w:t>
      </w:r>
      <w:r>
        <w:t xml:space="preserve"> </w:t>
      </w:r>
      <w:r>
        <w:t xml:space="preserve">variare dei valori stimati (H₀: omoschedasticità; H₁: eteroschedasticità).</w:t>
      </w:r>
      <w:r>
        <w:t xml:space="preserve"> </w:t>
      </w:r>
      <w:r>
        <w:t xml:space="preserve">Formalmente, il test ipotizza che la varianza degli errori segua un modello</w:t>
      </w:r>
      <w:r>
        <w:t xml:space="preserve"> </w:t>
      </w:r>
      <w:r>
        <w:t xml:space="preserve">lineare nei predittori:</w:t>
      </w:r>
    </w:p>
    <w:p>
      <w:pPr>
        <w:pStyle w:val="BodyText"/>
      </w:pPr>
      <m:oMathPara>
        <m:oMathParaPr>
          <m:jc m:val="center"/>
        </m:oMathParaPr>
        <m:oMath>
          <m:sSubSup>
            <m:e>
              <m:r>
                <m:t>σ</m:t>
              </m:r>
            </m:e>
            <m:sub>
              <m:r>
                <m:t>i</m:t>
              </m:r>
            </m:sub>
            <m:sup>
              <m:r>
                <m:t>2</m:t>
              </m:r>
            </m:sup>
          </m:sSubSup>
          <m:r>
            <m:rPr>
              <m:sty m:val="p"/>
            </m:rPr>
            <m:t>=</m:t>
          </m:r>
          <m:sSub>
            <m:e>
              <m:r>
                <m:t>α</m:t>
              </m:r>
            </m:e>
            <m:sub>
              <m:r>
                <m:t>0</m:t>
              </m:r>
            </m:sub>
          </m:sSub>
          <m:r>
            <m:rPr>
              <m:sty m:val="p"/>
            </m:rPr>
            <m:t>+</m:t>
          </m:r>
          <m:sSub>
            <m:e>
              <m:r>
                <m:t>α</m:t>
              </m:r>
            </m:e>
            <m:sub>
              <m:r>
                <m:t>1</m:t>
              </m:r>
            </m:sub>
          </m:sSub>
          <m:sSub>
            <m:e>
              <m:r>
                <m:t>z</m:t>
              </m:r>
            </m:e>
            <m:sub>
              <m:r>
                <m:t>i</m:t>
              </m:r>
              <m:r>
                <m:t>1</m:t>
              </m:r>
            </m:sub>
          </m:sSub>
          <m:r>
            <m:rPr>
              <m:sty m:val="p"/>
            </m:rPr>
            <m:t>+</m:t>
          </m:r>
          <m:r>
            <m:rPr>
              <m:sty m:val="p"/>
            </m:rPr>
            <m:t>⋯</m:t>
          </m:r>
          <m:r>
            <m:rPr>
              <m:sty m:val="p"/>
            </m:rPr>
            <m:t>+</m:t>
          </m:r>
          <m:sSub>
            <m:e>
              <m:r>
                <m:t>α</m:t>
              </m:r>
            </m:e>
            <m:sub>
              <m:r>
                <m:t>k</m:t>
              </m:r>
            </m:sub>
          </m:sSub>
          <m:sSub>
            <m:e>
              <m:r>
                <m:t>z</m:t>
              </m:r>
            </m:e>
            <m:sub>
              <m:r>
                <m:t>i</m:t>
              </m:r>
              <m:r>
                <m:t>k</m:t>
              </m:r>
            </m:sub>
          </m:sSub>
        </m:oMath>
      </m:oMathPara>
    </w:p>
    <w:p>
      <w:pPr>
        <w:pStyle w:val="FirstParagraph"/>
      </w:pPr>
      <w:r>
        <w:t xml:space="preserve">dove</w:t>
      </w:r>
      <w:r>
        <w:t xml:space="preserve"> </w:t>
      </w:r>
      <m:oMath>
        <m:sSub>
          <m:e>
            <m:r>
              <m:t>z</m:t>
            </m:r>
          </m:e>
          <m:sub>
            <m:r>
              <m:t>i</m:t>
            </m:r>
            <m:r>
              <m:t>1</m:t>
            </m:r>
          </m:sub>
        </m:sSub>
        <m:r>
          <m:rPr>
            <m:sty m:val="p"/>
          </m:rPr>
          <m:t>,</m:t>
        </m:r>
        <m:r>
          <m:rPr>
            <m:sty m:val="p"/>
          </m:rPr>
          <m:t>…</m:t>
        </m:r>
        <m:r>
          <m:rPr>
            <m:sty m:val="p"/>
          </m:rPr>
          <m:t>,</m:t>
        </m:r>
        <m:sSub>
          <m:e>
            <m:r>
              <m:t>z</m:t>
            </m:r>
          </m:e>
          <m:sub>
            <m:r>
              <m:t>i</m:t>
            </m:r>
            <m:r>
              <m:t>k</m:t>
            </m:r>
          </m:sub>
        </m:sSub>
      </m:oMath>
      <w:r>
        <w:t xml:space="preserve"> </w:t>
      </w:r>
      <w:r>
        <w:t xml:space="preserve">sono le variabili esplicative (o funzioni di esse).</w:t>
      </w:r>
      <w:r>
        <w:t xml:space="preserve"> </w:t>
      </w:r>
      <w:r>
        <w:t xml:space="preserve">Sotto H₀ tutti i coefficienti</w:t>
      </w:r>
      <w:r>
        <w:t xml:space="preserve"> </w:t>
      </w:r>
      <m:oMath>
        <m:sSub>
          <m:e>
            <m:r>
              <m:t>α</m:t>
            </m:r>
          </m:e>
          <m:sub>
            <m:r>
              <m:t>1</m:t>
            </m:r>
          </m:sub>
        </m:sSub>
        <m:r>
          <m:rPr>
            <m:sty m:val="p"/>
          </m:rPr>
          <m:t>,</m:t>
        </m:r>
        <m:r>
          <m:rPr>
            <m:sty m:val="p"/>
          </m:rPr>
          <m:t>…</m:t>
        </m:r>
        <m:r>
          <m:rPr>
            <m:sty m:val="p"/>
          </m:rPr>
          <m:t>,</m:t>
        </m:r>
        <m:sSub>
          <m:e>
            <m:r>
              <m:t>α</m:t>
            </m:r>
          </m:e>
          <m:sub>
            <m:r>
              <m:t>k</m:t>
            </m:r>
          </m:sub>
        </m:sSub>
      </m:oMath>
      <w:r>
        <w:t xml:space="preserve"> </w:t>
      </w:r>
      <w:r>
        <w:t xml:space="preserve">sono nulli, ossia la</w:t>
      </w:r>
      <w:r>
        <w:t xml:space="preserve"> </w:t>
      </w:r>
      <w:r>
        <w:t xml:space="preserve">varianza non dipende dai predittori. La statistica test è</w:t>
      </w:r>
    </w:p>
    <w:p>
      <w:pPr>
        <w:pStyle w:val="BodyText"/>
      </w:pPr>
      <m:oMathPara>
        <m:oMathParaPr>
          <m:jc m:val="center"/>
        </m:oMathParaPr>
        <m:oMath>
          <m:r>
            <m:t>B</m:t>
          </m:r>
          <m:r>
            <m:t>P</m:t>
          </m:r>
          <m:r>
            <m:rPr>
              <m:sty m:val="p"/>
            </m:rPr>
            <m:t>=</m:t>
          </m:r>
          <m:r>
            <m:t>n</m:t>
          </m:r>
          <m:r>
            <m:rPr>
              <m:sty m:val="p"/>
            </m:rPr>
            <m:t>⋅</m:t>
          </m:r>
          <m:sSubSup>
            <m:e>
              <m:r>
                <m:t>R</m:t>
              </m:r>
            </m:e>
            <m:sub>
              <m:r>
                <m:rPr>
                  <m:nor/>
                  <m:sty m:val="p"/>
                </m:rPr>
                <m:t>aux</m:t>
              </m:r>
            </m:sub>
            <m:sup>
              <m:r>
                <m:t>2</m:t>
              </m:r>
            </m:sup>
          </m:sSubSup>
        </m:oMath>
      </m:oMathPara>
    </w:p>
    <w:p>
      <w:pPr>
        <w:pStyle w:val="FirstParagraph"/>
      </w:pPr>
      <w:r>
        <w:t xml:space="preserve">dove</w:t>
      </w:r>
      <w:r>
        <w:t xml:space="preserve"> </w:t>
      </w:r>
      <m:oMath>
        <m:sSubSup>
          <m:e>
            <m:r>
              <m:t>R</m:t>
            </m:r>
          </m:e>
          <m:sub>
            <m:r>
              <m:rPr>
                <m:nor/>
                <m:sty m:val="p"/>
              </m:rPr>
              <m:t>aux</m:t>
            </m:r>
          </m:sub>
          <m:sup>
            <m:r>
              <m:t>2</m:t>
            </m:r>
          </m:sup>
        </m:sSubSup>
      </m:oMath>
      <w:r>
        <w:t xml:space="preserve"> </w:t>
      </w:r>
      <w:r>
        <w:t xml:space="preserve">è il coefficiente di determinazione della regressione</w:t>
      </w:r>
      <w:r>
        <w:t xml:space="preserve"> </w:t>
      </w:r>
      <w:r>
        <w:t xml:space="preserve">ausiliaria dei residui al quadrato</w:t>
      </w:r>
      <w:r>
        <w:t xml:space="preserve"> </w:t>
      </w:r>
      <m:oMath>
        <m:sSubSup>
          <m:e>
            <m:acc>
              <m:accPr>
                <m:chr m:val="̂"/>
              </m:accPr>
              <m:e>
                <m:r>
                  <m:t>ε</m:t>
                </m:r>
              </m:e>
            </m:acc>
          </m:e>
          <m:sub>
            <m:r>
              <m:t>i</m:t>
            </m:r>
          </m:sub>
          <m:sup>
            <m:r>
              <m:t>2</m:t>
            </m:r>
          </m:sup>
        </m:sSubSup>
      </m:oMath>
      <w:r>
        <w:t xml:space="preserve"> </w:t>
      </w:r>
      <w:r>
        <w:t xml:space="preserve">sulle variabili</w:t>
      </w:r>
      <w:r>
        <w:t xml:space="preserve"> </w:t>
      </w:r>
      <w:r>
        <w:t xml:space="preserve">esplicative del modello originale. Sotto H₀,</w:t>
      </w:r>
      <w:r>
        <w:t xml:space="preserve"> </w:t>
      </w:r>
      <m:oMath>
        <m:r>
          <m:t>B</m:t>
        </m:r>
        <m:r>
          <m:t>P</m:t>
        </m:r>
      </m:oMath>
      <w:r>
        <w:t xml:space="preserve"> </w:t>
      </w:r>
      <w:r>
        <w:t xml:space="preserve">converge in distribuzione a</w:t>
      </w:r>
      <w:r>
        <w:t xml:space="preserve"> </w:t>
      </w:r>
      <w:r>
        <w:t xml:space="preserve">un</w:t>
      </w:r>
      <w:r>
        <w:t xml:space="preserve"> </w:t>
      </w:r>
      <m:oMath>
        <m:sSup>
          <m:e>
            <m:r>
              <m:t>χ</m:t>
            </m:r>
          </m:e>
          <m:sup>
            <m:r>
              <m:t>2</m:t>
            </m:r>
          </m:sup>
        </m:sSup>
      </m:oMath>
      <w:r>
        <w:t xml:space="preserve"> </w:t>
      </w:r>
      <w:r>
        <w:t xml:space="preserve">con</w:t>
      </w:r>
      <w:r>
        <w:t xml:space="preserve"> </w:t>
      </w:r>
      <m:oMath>
        <m:r>
          <m:t>k</m:t>
        </m:r>
      </m:oMath>
      <w:r>
        <w:t xml:space="preserve"> </w:t>
      </w:r>
      <w:r>
        <w:t xml:space="preserve">gradi di libertà, dove</w:t>
      </w:r>
      <w:r>
        <w:t xml:space="preserve"> </w:t>
      </w:r>
      <m:oMath>
        <m:r>
          <m:t>k</m:t>
        </m:r>
      </m:oMath>
      <w:r>
        <w:t xml:space="preserve"> </w:t>
      </w:r>
      <w:r>
        <w:t xml:space="preserve">è il numero di predittori.</w:t>
      </w:r>
      <w:r>
        <w:t xml:space="preserve"> </w:t>
      </w:r>
      <w:r>
        <w:t xml:space="preserve">Si rifiuta H₀ per valori grandi di</w:t>
      </w:r>
      <w:r>
        <w:t xml:space="preserve"> </w:t>
      </w:r>
      <m:oMath>
        <m:r>
          <m:t>B</m:t>
        </m:r>
        <m:r>
          <m:t>P</m:t>
        </m:r>
      </m:oMath>
      <w:r>
        <w:t xml:space="preserve">, ovvero per p-value inferiori al</w:t>
      </w:r>
      <w:r>
        <w:t xml:space="preserve"> </w:t>
      </w:r>
      <w:r>
        <w:t xml:space="preserve">livello di significatività</w:t>
      </w:r>
      <w:r>
        <w:t xml:space="preserve"> </w:t>
      </w:r>
      <m:oMath>
        <m:r>
          <m:t>α</m:t>
        </m:r>
        <m:r>
          <m:rPr>
            <m:sty m:val="p"/>
          </m:rPr>
          <m:t>=</m:t>
        </m:r>
        <m:r>
          <m:t>0.05</m:t>
        </m:r>
      </m:oMath>
      <w:r>
        <w:t xml:space="preserve">.</w:t>
      </w:r>
    </w:p>
    <w:p>
      <w:pPr>
        <w:pStyle w:val="SourceCode"/>
      </w:pPr>
      <w:r>
        <w:br/>
      </w:r>
      <w:r>
        <w:rPr>
          <w:rStyle w:val="VerbatimChar"/>
        </w:rPr>
        <w:t xml:space="preserve">    studentized Breusch-Pagan test</w:t>
      </w:r>
      <w:r>
        <w:br/>
      </w:r>
      <w:r>
        <w:br/>
      </w:r>
      <w:r>
        <w:rPr>
          <w:rStyle w:val="VerbatimChar"/>
        </w:rPr>
        <w:t xml:space="preserve">data:  modello_finale</w:t>
      </w:r>
      <w:r>
        <w:br/>
      </w:r>
      <w:r>
        <w:rPr>
          <w:rStyle w:val="VerbatimChar"/>
        </w:rPr>
        <w:t xml:space="preserve">BP = 5.1541, df = 3, p-value = 0.1609</w:t>
      </w:r>
    </w:p>
    <w:p>
      <w:pPr>
        <w:pStyle w:val="FirstParagraph"/>
      </w:pPr>
      <w:r>
        <w:t xml:space="preserve">Il p-value del test di Breusch-Pagan non porta a rifiutare l’ipotesi nulla di omoschedasticità. Tuttavia, con n=64 questo test ha potenza limitata, quindi l’uso degli errori standard robusti HC1 rimane una scelta prudenziale giustificata.</w:t>
      </w:r>
    </w:p>
    <w:bookmarkEnd w:id="35"/>
    <w:bookmarkStart w:id="39" w:name="analisi-grafica-dei-residui"/>
    <w:p>
      <w:pPr>
        <w:pStyle w:val="Heading2"/>
      </w:pPr>
      <w:r>
        <w:t xml:space="preserve">4.3 Analisi grafica dei residui</w:t>
      </w:r>
    </w:p>
    <w:p>
      <w:pPr>
        <w:pStyle w:val="CaptionedFigure"/>
      </w:pPr>
      <w:r>
        <w:drawing>
          <wp:inline>
            <wp:extent cx="5334000" cy="4267200"/>
            <wp:effectExtent b="0" l="0" r="0" t="0"/>
            <wp:docPr descr="Grafici diagnostici del modello finale" title="" id="37" name="Picture"/>
            <a:graphic>
              <a:graphicData uri="http://schemas.openxmlformats.org/drawingml/2006/picture">
                <pic:pic>
                  <pic:nvPicPr>
                    <pic:cNvPr descr="analisi_world.cup.2022_report_files/figure-docx/plot-residui-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Grafici diagnostici del modello finale</w:t>
      </w:r>
    </w:p>
    <w:p>
      <w:pPr>
        <w:pStyle w:val="BodyText"/>
      </w:pPr>
      <w:r>
        <w:t xml:space="preserve">I quattro grafici diagnostici mostrano: (1) un andamento dei residui vs valori adattati privo di struttura sistematica evidente; (2) un QQ-plot sostanzialmente lineare; (3) nessun pattern rilevante nella scala-location; (4) alcune osservazioni con distanza di Cook elevata, che verranno identificate nella sezione successiva. Complessivamente, i grafici non segnalano violazioni gravi delle assunzioni.</w:t>
      </w:r>
    </w:p>
    <w:bookmarkEnd w:id="39"/>
    <w:bookmarkStart w:id="40" w:name="vif-del-modello-finale"/>
    <w:p>
      <w:pPr>
        <w:pStyle w:val="Heading2"/>
      </w:pPr>
      <w:r>
        <w:t xml:space="preserve">4.4 VIF del modello finale</w:t>
      </w:r>
    </w:p>
    <w:p>
      <w:pPr>
        <w:pStyle w:val="TableCaption"/>
      </w:pPr>
      <w:r>
        <w:t xml:space="preserve">VIF — Modello finale</w:t>
      </w:r>
    </w:p>
    <w:tbl>
      <w:tblPr>
        <w:tblStyle w:val="Table"/>
        <w:tblW w:type="auto" w:w="0"/>
        <w:tblLook w:firstRow="1" w:lastRow="0" w:firstColumn="0" w:lastColumn="0" w:noHBand="0" w:noVBand="0" w:val="0020"/>
        <w:tblCaption w:val="VIF — Modello finale"/>
      </w:tblPr>
      <w:tblGrid>
        <w:gridCol w:w="3960"/>
        <w:gridCol w:w="3960"/>
      </w:tblGrid>
      <w:tr>
        <w:trPr>
          <w:tblHeader w:val="on"/>
        </w:trPr>
        <w:tc>
          <w:tcPr/>
          <w:p>
            <w:pPr>
              <w:pStyle w:val="Compact"/>
            </w:pPr>
          </w:p>
        </w:tc>
        <w:tc>
          <w:tcPr/>
          <w:p>
            <w:pPr>
              <w:pStyle w:val="Compact"/>
              <w:jc w:val="right"/>
            </w:pPr>
            <w:r>
              <w:t xml:space="preserve">vif(modello_finale)</w:t>
            </w:r>
          </w:p>
        </w:tc>
      </w:tr>
      <w:tr>
        <w:tc>
          <w:tcPr/>
          <w:p>
            <w:pPr>
              <w:pStyle w:val="Compact"/>
              <w:jc w:val="left"/>
            </w:pPr>
            <w:r>
              <w:t xml:space="preserve">pre_match_ppg_positive</w:t>
            </w:r>
          </w:p>
        </w:tc>
        <w:tc>
          <w:tcPr/>
          <w:p>
            <w:pPr>
              <w:pStyle w:val="Compact"/>
              <w:jc w:val="right"/>
            </w:pPr>
            <w:r>
              <w:t xml:space="preserve">1.045</w:t>
            </w:r>
          </w:p>
        </w:tc>
      </w:tr>
      <w:tr>
        <w:tc>
          <w:tcPr/>
          <w:p>
            <w:pPr>
              <w:pStyle w:val="Compact"/>
              <w:jc w:val="left"/>
            </w:pPr>
            <w:r>
              <w:t xml:space="preserve">implied_probability_difference</w:t>
            </w:r>
          </w:p>
        </w:tc>
        <w:tc>
          <w:tcPr/>
          <w:p>
            <w:pPr>
              <w:pStyle w:val="Compact"/>
              <w:jc w:val="right"/>
            </w:pPr>
            <w:r>
              <w:t xml:space="preserve">1.008</w:t>
            </w:r>
          </w:p>
        </w:tc>
      </w:tr>
      <w:tr>
        <w:tc>
          <w:tcPr/>
          <w:p>
            <w:pPr>
              <w:pStyle w:val="Compact"/>
              <w:jc w:val="left"/>
            </w:pPr>
            <w:r>
              <w:t xml:space="preserve">knockout</w:t>
            </w:r>
          </w:p>
        </w:tc>
        <w:tc>
          <w:tcPr/>
          <w:p>
            <w:pPr>
              <w:pStyle w:val="Compact"/>
              <w:jc w:val="right"/>
            </w:pPr>
            <w:r>
              <w:t xml:space="preserve">1.047</w:t>
            </w:r>
          </w:p>
        </w:tc>
      </w:tr>
    </w:tbl>
    <w:p>
      <w:pPr>
        <w:pStyle w:val="BodyText"/>
      </w:pPr>
      <w:r>
        <w:t xml:space="preserve">Tutti i VIF sono inferiori a 2, indicando assenza di multicollinearità rilevante nel modello finale. La correlazione tra</w:t>
      </w:r>
      <w:r>
        <w:t xml:space="preserve"> </w:t>
      </w:r>
      <w:r>
        <w:rPr>
          <w:rStyle w:val="VerbatimChar"/>
        </w:rPr>
        <w:t xml:space="preserve">implied_probability_difference</w:t>
      </w:r>
      <w:r>
        <w:t xml:space="preserve"> </w:t>
      </w:r>
      <w:r>
        <w:t xml:space="preserve">e</w:t>
      </w:r>
      <w:r>
        <w:t xml:space="preserve"> </w:t>
      </w:r>
      <w:r>
        <w:rPr>
          <w:rStyle w:val="VerbatimChar"/>
        </w:rPr>
        <w:t xml:space="preserve">pre_match_ppg_positive</w:t>
      </w:r>
      <w:r>
        <w:t xml:space="preserve"> </w:t>
      </w:r>
      <w:r>
        <w:t xml:space="preserve">è modesta e non crea instabilità nelle stime.</w:t>
      </w:r>
    </w:p>
    <w:bookmarkEnd w:id="40"/>
    <w:bookmarkStart w:id="48" w:name="osservazioni-influenti"/>
    <w:p>
      <w:pPr>
        <w:pStyle w:val="Heading2"/>
      </w:pPr>
      <w:r>
        <w:t xml:space="preserve">4.5 Osservazioni influenti</w:t>
      </w:r>
    </w:p>
    <w:bookmarkStart w:id="44" w:name="distanza-di-cook"/>
    <w:p>
      <w:pPr>
        <w:pStyle w:val="Heading3"/>
      </w:pPr>
      <w:r>
        <w:t xml:space="preserve">4.5.1 Distanza di Cook</w:t>
      </w:r>
    </w:p>
    <w:p>
      <w:pPr>
        <w:pStyle w:val="FirstParagraph"/>
      </w:pPr>
      <w:r>
        <w:t xml:space="preserve">La distanza di Cook misura l’influenza di ciascuna osservazione sull’intera superficie di regressione. La soglia orientativa adottata è</w:t>
      </w:r>
      <w:r>
        <w:t xml:space="preserve"> </w:t>
      </w:r>
      <m:oMath>
        <m:r>
          <m:t>4</m:t>
        </m:r>
        <m:r>
          <m:rPr>
            <m:sty m:val="p"/>
          </m:rPr>
          <m:t>/</m:t>
        </m:r>
        <m:r>
          <m:t>n</m:t>
        </m:r>
        <m:r>
          <m:rPr>
            <m:sty m:val="p"/>
          </m:rPr>
          <m:t>=</m:t>
        </m:r>
        <m:r>
          <m:t>4</m:t>
        </m:r>
        <m:r>
          <m:rPr>
            <m:sty m:val="p"/>
          </m:rPr>
          <m:t>/</m:t>
        </m:r>
        <m:r>
          <m:t>64</m:t>
        </m:r>
        <m:r>
          <m:rPr>
            <m:sty m:val="p"/>
          </m:rPr>
          <m:t>≈</m:t>
        </m:r>
        <m:r>
          <m:t>0.0625</m:t>
        </m:r>
      </m:oMath>
      <w:r>
        <w:t xml:space="preserve">, conservativa e indicata per campioni piccoli.</w:t>
      </w:r>
    </w:p>
    <w:p>
      <w:pPr>
        <w:pStyle w:val="CaptionedFigure"/>
      </w:pPr>
      <w:r>
        <w:drawing>
          <wp:inline>
            <wp:extent cx="4620126" cy="3696101"/>
            <wp:effectExtent b="0" l="0" r="0" t="0"/>
            <wp:docPr descr="Distanza di Cook per ogni partita" title="" id="42" name="Picture"/>
            <a:graphic>
              <a:graphicData uri="http://schemas.openxmlformats.org/drawingml/2006/picture">
                <pic:pic>
                  <pic:nvPicPr>
                    <pic:cNvPr descr="analisi_world.cup.2022_report_files/figure-docx/cook-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Distanza di Cook per ogni partita</w:t>
      </w:r>
    </w:p>
    <w:p>
      <w:pPr>
        <w:pStyle w:val="SourceCode"/>
      </w:pPr>
      <w:r>
        <w:rPr>
          <w:rStyle w:val="VerbatimChar"/>
        </w:rPr>
        <w:t xml:space="preserve">Osservazioni sopra la soglia (4/n = 0.0625 ):</w:t>
      </w:r>
    </w:p>
    <w:p>
      <w:pPr>
        <w:pStyle w:val="SourceCode"/>
      </w:pPr>
      <w:r>
        <w:rPr>
          <w:rStyle w:val="VerbatimChar"/>
        </w:rPr>
        <w:t xml:space="preserve">11 50 56 </w:t>
      </w:r>
      <w:r>
        <w:br/>
      </w:r>
      <w:r>
        <w:rPr>
          <w:rStyle w:val="VerbatimChar"/>
        </w:rPr>
        <w:t xml:space="preserve">11 50 56 </w:t>
      </w:r>
    </w:p>
    <w:bookmarkEnd w:id="44"/>
    <w:bookmarkStart w:id="45" w:name="leverage"/>
    <w:p>
      <w:pPr>
        <w:pStyle w:val="Heading3"/>
      </w:pPr>
      <w:r>
        <w:t xml:space="preserve">4.5.2 Leverage</w:t>
      </w:r>
    </w:p>
    <w:p>
      <w:pPr>
        <w:pStyle w:val="FirstParagraph"/>
      </w:pPr>
      <w:r>
        <w:t xml:space="preserve">Il leverage (</w:t>
      </w:r>
      <m:oMath>
        <m:sSub>
          <m:e>
            <m:r>
              <m:t>h</m:t>
            </m:r>
          </m:e>
          <m:sub>
            <m:r>
              <m:t>i</m:t>
            </m:r>
            <m:r>
              <m:t>i</m:t>
            </m:r>
          </m:sub>
        </m:sSub>
      </m:oMath>
      <w:r>
        <w:t xml:space="preserve">) misura quanto un’osservazione si discosta dalla media</w:t>
      </w:r>
      <w:r>
        <w:t xml:space="preserve"> </w:t>
      </w:r>
      <w:r>
        <w:t xml:space="preserve">dei predittori nello spazio delle variabili esplicative. Formalmente, è</w:t>
      </w:r>
      <w:r>
        <w:t xml:space="preserve"> </w:t>
      </w:r>
      <w:r>
        <w:t xml:space="preserve">l’</w:t>
      </w:r>
      <m:oMath>
        <m:r>
          <m:t>i</m:t>
        </m:r>
      </m:oMath>
      <w:r>
        <w:t xml:space="preserve">-esimo elemento diagonale della matrice cappello (</w:t>
      </w:r>
      <w:r>
        <w:rPr>
          <w:i/>
          <w:iCs/>
        </w:rPr>
        <w:t xml:space="preserve">hat matrix</w:t>
      </w:r>
      <w:r>
        <w:t xml:space="preserve">):</w:t>
      </w:r>
    </w:p>
    <w:p>
      <w:pPr>
        <w:pStyle w:val="BodyText"/>
      </w:pPr>
      <m:oMathPara>
        <m:oMathParaPr>
          <m:jc m:val="center"/>
        </m:oMathParaPr>
        <m:oMath>
          <m:r>
            <m:t>H</m:t>
          </m:r>
          <m:r>
            <m:rPr>
              <m:sty m:val="p"/>
            </m:rPr>
            <m:t>=</m:t>
          </m:r>
          <m:r>
            <m:t>X</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  </m:t>
          </m:r>
          <m:r>
            <m:rPr>
              <m:sty m:val="p"/>
            </m:rPr>
            <m:t>⇒</m:t>
          </m:r>
          <m:r>
            <m:t>  </m:t>
          </m:r>
          <m:sSub>
            <m:e>
              <m:r>
                <m:t>h</m:t>
              </m:r>
            </m:e>
            <m:sub>
              <m:r>
                <m:t>i</m:t>
              </m:r>
              <m:r>
                <m:t>i</m:t>
              </m:r>
            </m:sub>
          </m:sSub>
          <m:r>
            <m:rPr>
              <m:sty m:val="p"/>
            </m:rPr>
            <m:t>=</m:t>
          </m:r>
          <m:sSubSup>
            <m:e>
              <m:r>
                <m:t>x</m:t>
              </m:r>
            </m:e>
            <m:sub>
              <m:r>
                <m:t>i</m:t>
              </m:r>
            </m:sub>
            <m:sup>
              <m:r>
                <m:rPr>
                  <m:sty m:val="p"/>
                </m:rPr>
                <m:t>⊤</m:t>
              </m:r>
            </m:sup>
          </m:sSubSup>
          <m:r>
            <m:rPr>
              <m:sty m:val="p"/>
            </m:rPr>
            <m:t>(</m:t>
          </m:r>
          <m:sSup>
            <m:e>
              <m:r>
                <m:t>X</m:t>
              </m:r>
            </m:e>
            <m:sup>
              <m:r>
                <m:rPr>
                  <m:sty m:val="p"/>
                </m:rPr>
                <m:t>⊤</m:t>
              </m:r>
            </m:sup>
          </m:sSup>
          <m:r>
            <m:t>X</m:t>
          </m:r>
          <m:sSup>
            <m:e>
              <m:r>
                <m:rPr>
                  <m:sty m:val="p"/>
                </m:rPr>
                <m:t>)</m:t>
              </m:r>
            </m:e>
            <m:sup>
              <m:r>
                <m:rPr>
                  <m:sty m:val="p"/>
                </m:rPr>
                <m:t>−</m:t>
              </m:r>
              <m:r>
                <m:t>1</m:t>
              </m:r>
            </m:sup>
          </m:sSup>
          <m:sSub>
            <m:e>
              <m:r>
                <m:t>x</m:t>
              </m:r>
            </m:e>
            <m:sub>
              <m:r>
                <m:t>i</m:t>
              </m:r>
            </m:sub>
          </m:sSub>
        </m:oMath>
      </m:oMathPara>
    </w:p>
    <w:p>
      <w:pPr>
        <w:pStyle w:val="FirstParagraph"/>
      </w:pPr>
      <w:r>
        <w:t xml:space="preserve">dove</w:t>
      </w:r>
      <w:r>
        <w:t xml:space="preserve"> </w:t>
      </w:r>
      <m:oMath>
        <m:sSub>
          <m:e>
            <m:r>
              <m:t>x</m:t>
            </m:r>
          </m:e>
          <m:sub>
            <m:r>
              <m:t>i</m:t>
            </m:r>
          </m:sub>
        </m:sSub>
      </m:oMath>
      <w:r>
        <w:t xml:space="preserve"> </w:t>
      </w:r>
      <w:r>
        <w:t xml:space="preserve">è il vettore dei predittori dell’</w:t>
      </w:r>
      <m:oMath>
        <m:r>
          <m:t>i</m:t>
        </m:r>
      </m:oMath>
      <w:r>
        <w:t xml:space="preserve">-esima osservazione. Per</w:t>
      </w:r>
      <w:r>
        <w:t xml:space="preserve"> </w:t>
      </w:r>
      <w:r>
        <w:t xml:space="preserve">costruzione</w:t>
      </w:r>
      <w:r>
        <w:t xml:space="preserve"> </w:t>
      </w:r>
      <m:oMath>
        <m:sSub>
          <m:e>
            <m:r>
              <m:t>h</m:t>
            </m:r>
          </m:e>
          <m:sub>
            <m:r>
              <m:t>i</m:t>
            </m:r>
            <m:r>
              <m:t>i</m:t>
            </m:r>
          </m:sub>
        </m:sSub>
        <m:r>
          <m:rPr>
            <m:sty m:val="p"/>
          </m:rPr>
          <m:t>∈</m:t>
        </m:r>
        <m:r>
          <m:rPr>
            <m:sty m:val="p"/>
          </m:rPr>
          <m:t>[</m:t>
        </m:r>
        <m:r>
          <m:t>1</m:t>
        </m:r>
        <m:r>
          <m:rPr>
            <m:sty m:val="p"/>
          </m:rPr>
          <m:t>/</m:t>
        </m:r>
        <m:r>
          <m:t>n</m:t>
        </m:r>
        <m:r>
          <m:rPr>
            <m:sty m:val="p"/>
          </m:rPr>
          <m:t>,</m:t>
        </m:r>
        <m:r>
          <m:t> </m:t>
        </m:r>
        <m:r>
          <m:t>1</m:t>
        </m:r>
        <m:r>
          <m:rPr>
            <m:sty m:val="p"/>
          </m:rPr>
          <m:t>]</m:t>
        </m:r>
      </m:oMath>
      <w:r>
        <w:t xml:space="preserve"> </w:t>
      </w:r>
      <w:r>
        <w:t xml:space="preserve">e</w:t>
      </w:r>
      <w:r>
        <w:t xml:space="preserve"> </w:t>
      </w:r>
      <m:oMath>
        <m:nary>
          <m:naryPr>
            <m:chr m:val="∑"/>
            <m:limLoc m:val="undOvr"/>
            <m:subHide m:val="off"/>
            <m:supHide m:val="on"/>
          </m:naryPr>
          <m:sub>
            <m:r>
              <m:t>i</m:t>
            </m:r>
          </m:sub>
          <m:sup>
            <m:r>
              <m:t>​</m:t>
            </m:r>
          </m:sup>
          <m:e>
            <m:sSub>
              <m:e>
                <m:r>
                  <m:t>h</m:t>
                </m:r>
              </m:e>
              <m:sub>
                <m:r>
                  <m:t>i</m:t>
                </m:r>
                <m:r>
                  <m:t>i</m:t>
                </m:r>
              </m:sub>
            </m:sSub>
          </m:e>
        </m:nary>
        <m:r>
          <m:rPr>
            <m:sty m:val="p"/>
          </m:rPr>
          <m:t>=</m:t>
        </m:r>
        <m:r>
          <m:t>p</m:t>
        </m:r>
      </m:oMath>
      <w:r>
        <w:t xml:space="preserve">, dove</w:t>
      </w:r>
      <w:r>
        <w:t xml:space="preserve"> </w:t>
      </w:r>
      <m:oMath>
        <m:r>
          <m:t>p</m:t>
        </m:r>
      </m:oMath>
      <w:r>
        <w:t xml:space="preserve"> </w:t>
      </w:r>
      <w:r>
        <w:t xml:space="preserve">è il</w:t>
      </w:r>
      <w:r>
        <w:t xml:space="preserve"> </w:t>
      </w:r>
      <w:r>
        <w:t xml:space="preserve">numero di coefficienti stimati (intercetta inclusa). Un leverage elevato</w:t>
      </w:r>
      <w:r>
        <w:t xml:space="preserve"> </w:t>
      </w:r>
      <w:r>
        <w:t xml:space="preserve">indica che l’osservazione occupa una posizione atipica nello spazio dei</w:t>
      </w:r>
      <w:r>
        <w:t xml:space="preserve"> </w:t>
      </w:r>
      <w:r>
        <w:t xml:space="preserve">predittori e ha quindi un potenziale influenza elevata sulle stime,</w:t>
      </w:r>
      <w:r>
        <w:t xml:space="preserve"> </w:t>
      </w:r>
      <w:r>
        <w:t xml:space="preserve">indipendentemente dall’entità del residuo. La soglia convenzionale</w:t>
      </w:r>
      <w:r>
        <w:t xml:space="preserve"> </w:t>
      </w:r>
      <m:oMath>
        <m:r>
          <m:t>2</m:t>
        </m:r>
        <m:r>
          <m:t>p</m:t>
        </m:r>
        <m:r>
          <m:rPr>
            <m:sty m:val="p"/>
          </m:rPr>
          <m:t>/</m:t>
        </m:r>
        <m:r>
          <m:t>n</m:t>
        </m:r>
      </m:oMath>
      <w:r>
        <w:t xml:space="preserve"> </w:t>
      </w:r>
      <w:r>
        <w:t xml:space="preserve">identifica le osservazioni con leverage superiore al doppio del valore medio,</w:t>
      </w:r>
      <w:r>
        <w:t xml:space="preserve"> </w:t>
      </w:r>
      <w:r>
        <w:t xml:space="preserve">segnalando punti che meritano attenzione diagnostica.</w:t>
      </w:r>
    </w:p>
    <w:p>
      <w:pPr>
        <w:pStyle w:val="SourceCode"/>
      </w:pPr>
      <w:r>
        <w:rPr>
          <w:rStyle w:val="VerbatimChar"/>
        </w:rPr>
        <w:t xml:space="preserve">Soglia leverage (2p/n = 0.125 ):</w:t>
      </w:r>
    </w:p>
    <w:p>
      <w:pPr>
        <w:pStyle w:val="SourceCode"/>
      </w:pPr>
      <w:r>
        <w:rPr>
          <w:rStyle w:val="VerbatimChar"/>
        </w:rPr>
        <w:t xml:space="preserve">57 </w:t>
      </w:r>
      <w:r>
        <w:br/>
      </w:r>
      <w:r>
        <w:rPr>
          <w:rStyle w:val="VerbatimChar"/>
        </w:rPr>
        <w:t xml:space="preserve">57 </w:t>
      </w:r>
    </w:p>
    <w:bookmarkEnd w:id="45"/>
    <w:bookmarkStart w:id="46" w:name="residui-studentizzati-e-test-bonferroni"/>
    <w:p>
      <w:pPr>
        <w:pStyle w:val="Heading3"/>
      </w:pPr>
      <w:r>
        <w:t xml:space="preserve">4.5.3 Residui studentizzati e test Bonferroni</w:t>
      </w:r>
    </w:p>
    <w:p>
      <w:pPr>
        <w:pStyle w:val="FirstParagraph"/>
      </w:pPr>
      <w:r>
        <w:t xml:space="preserve">I</w:t>
      </w:r>
      <w:r>
        <w:t xml:space="preserve"> </w:t>
      </w:r>
      <w:r>
        <w:rPr>
          <w:b/>
          <w:bCs/>
        </w:rPr>
        <w:t xml:space="preserve">residui studentizzati esternamente</w:t>
      </w:r>
      <w:r>
        <w:t xml:space="preserve"> </w:t>
      </w:r>
      <w:r>
        <w:t xml:space="preserve">correggono i residui ordinari per</w:t>
      </w:r>
      <w:r>
        <w:t xml:space="preserve"> </w:t>
      </w:r>
      <w:r>
        <w:t xml:space="preserve">l’influenza che ciascuna osservazione esercita sulla propria stima. Per</w:t>
      </w:r>
      <w:r>
        <w:t xml:space="preserve"> </w:t>
      </w:r>
      <w:r>
        <w:t xml:space="preserve">l’osservazione</w:t>
      </w:r>
      <w:r>
        <w:t xml:space="preserve"> </w:t>
      </w:r>
      <m:oMath>
        <m:r>
          <m:t>i</m:t>
        </m:r>
      </m:oMath>
      <w:r>
        <w:t xml:space="preserve">, il residuo studentizzato esterno è</w:t>
      </w:r>
    </w:p>
    <w:p>
      <w:pPr>
        <w:pStyle w:val="BodyText"/>
      </w:pPr>
      <m:oMathPara>
        <m:oMathParaPr>
          <m:jc m:val="center"/>
        </m:oMathParaPr>
        <m:oMath>
          <m:sSub>
            <m:e>
              <m:r>
                <m:t>t</m:t>
              </m:r>
            </m:e>
            <m:sub>
              <m:r>
                <m:t>i</m:t>
              </m:r>
            </m:sub>
          </m:sSub>
          <m:r>
            <m:rPr>
              <m:sty m:val="p"/>
            </m:rPr>
            <m:t>=</m:t>
          </m:r>
          <m:f>
            <m:fPr>
              <m:type m:val="bar"/>
            </m:fPr>
            <m:num>
              <m:sSub>
                <m:e>
                  <m:acc>
                    <m:accPr>
                      <m:chr m:val="̂"/>
                    </m:accPr>
                    <m:e>
                      <m:r>
                        <m:t>ε</m:t>
                      </m:r>
                    </m:e>
                  </m:acc>
                </m:e>
                <m:sub>
                  <m:r>
                    <m:t>i</m:t>
                  </m:r>
                </m:sub>
              </m:sSub>
            </m:num>
            <m:den>
              <m:sSub>
                <m:e>
                  <m:acc>
                    <m:accPr>
                      <m:chr m:val="̂"/>
                    </m:accPr>
                    <m:e>
                      <m:r>
                        <m:t>σ</m:t>
                      </m:r>
                    </m:e>
                  </m:acc>
                </m:e>
                <m:sub>
                  <m:r>
                    <m:rPr>
                      <m:sty m:val="p"/>
                    </m:rPr>
                    <m:t>(</m:t>
                  </m:r>
                  <m:r>
                    <m:t>i</m:t>
                  </m:r>
                  <m:r>
                    <m:rPr>
                      <m:sty m:val="p"/>
                    </m:rPr>
                    <m:t>)</m:t>
                  </m:r>
                </m:sub>
              </m:sSub>
              <m:rad>
                <m:radPr>
                  <m:degHide m:val="on"/>
                </m:radPr>
                <m:deg/>
                <m:e>
                  <m:r>
                    <m:t>1</m:t>
                  </m:r>
                  <m:r>
                    <m:rPr>
                      <m:sty m:val="p"/>
                    </m:rPr>
                    <m:t>−</m:t>
                  </m:r>
                  <m:sSub>
                    <m:e>
                      <m:r>
                        <m:t>h</m:t>
                      </m:r>
                    </m:e>
                    <m:sub>
                      <m:r>
                        <m:t>i</m:t>
                      </m:r>
                      <m:r>
                        <m:t>i</m:t>
                      </m:r>
                    </m:sub>
                  </m:sSub>
                </m:e>
              </m:rad>
            </m:den>
          </m:f>
        </m:oMath>
      </m:oMathPara>
    </w:p>
    <w:p>
      <w:pPr>
        <w:pStyle w:val="FirstParagraph"/>
      </w:pPr>
      <w:r>
        <w:t xml:space="preserve">dove</w:t>
      </w:r>
      <w:r>
        <w:t xml:space="preserve"> </w:t>
      </w:r>
      <m:oMath>
        <m:sSub>
          <m:e>
            <m:acc>
              <m:accPr>
                <m:chr m:val="̂"/>
              </m:accPr>
              <m:e>
                <m:r>
                  <m:t>σ</m:t>
                </m:r>
              </m:e>
            </m:acc>
          </m:e>
          <m:sub>
            <m:r>
              <m:rPr>
                <m:sty m:val="p"/>
              </m:rPr>
              <m:t>(</m:t>
            </m:r>
            <m:r>
              <m:t>i</m:t>
            </m:r>
            <m:r>
              <m:rPr>
                <m:sty m:val="p"/>
              </m:rPr>
              <m:t>)</m:t>
            </m:r>
          </m:sub>
        </m:sSub>
      </m:oMath>
      <w:r>
        <w:t xml:space="preserve"> </w:t>
      </w:r>
      <w:r>
        <w:t xml:space="preserve">è la deviazione standard dei residui del modello</w:t>
      </w:r>
      <w:r>
        <w:t xml:space="preserve"> </w:t>
      </w:r>
      <w:r>
        <w:t xml:space="preserve">stimato</w:t>
      </w:r>
      <w:r>
        <w:t xml:space="preserve"> </w:t>
      </w:r>
      <w:r>
        <w:rPr>
          <w:b/>
          <w:bCs/>
        </w:rPr>
        <w:t xml:space="preserve">escludendo</w:t>
      </w:r>
      <w:r>
        <w:t xml:space="preserve"> </w:t>
      </w:r>
      <w:r>
        <w:t xml:space="preserve">l’osservazione</w:t>
      </w:r>
      <w:r>
        <w:t xml:space="preserve"> </w:t>
      </w:r>
      <m:oMath>
        <m:r>
          <m:t>i</m:t>
        </m:r>
      </m:oMath>
      <w:r>
        <w:t xml:space="preserve">, e</w:t>
      </w:r>
      <w:r>
        <w:t xml:space="preserve"> </w:t>
      </w:r>
      <m:oMath>
        <m:sSub>
          <m:e>
            <m:r>
              <m:t>h</m:t>
            </m:r>
          </m:e>
          <m:sub>
            <m:r>
              <m:t>i</m:t>
            </m:r>
            <m:r>
              <m:t>i</m:t>
            </m:r>
          </m:sub>
        </m:sSub>
      </m:oMath>
      <w:r>
        <w:t xml:space="preserve"> </w:t>
      </w:r>
      <w:r>
        <w:t xml:space="preserve">è il leverage.</w:t>
      </w:r>
      <w:r>
        <w:t xml:space="preserve"> </w:t>
      </w:r>
      <w:r>
        <w:t xml:space="preserve">L’uso di</w:t>
      </w:r>
      <w:r>
        <w:t xml:space="preserve"> </w:t>
      </w:r>
      <m:oMath>
        <m:sSub>
          <m:e>
            <m:acc>
              <m:accPr>
                <m:chr m:val="̂"/>
              </m:accPr>
              <m:e>
                <m:r>
                  <m:t>σ</m:t>
                </m:r>
              </m:e>
            </m:acc>
          </m:e>
          <m:sub>
            <m:r>
              <m:rPr>
                <m:sty m:val="p"/>
              </m:rPr>
              <m:t>(</m:t>
            </m:r>
            <m:r>
              <m:t>i</m:t>
            </m:r>
            <m:r>
              <m:rPr>
                <m:sty m:val="p"/>
              </m:rPr>
              <m:t>)</m:t>
            </m:r>
          </m:sub>
        </m:sSub>
      </m:oMath>
      <w:r>
        <w:t xml:space="preserve"> </w:t>
      </w:r>
      <w:r>
        <w:t xml:space="preserve">anziché</w:t>
      </w:r>
      <w:r>
        <w:t xml:space="preserve"> </w:t>
      </w:r>
      <m:oMath>
        <m:acc>
          <m:accPr>
            <m:chr m:val="̂"/>
          </m:accPr>
          <m:e>
            <m:r>
              <m:t>σ</m:t>
            </m:r>
          </m:e>
        </m:acc>
      </m:oMath>
      <w:r>
        <w:t xml:space="preserve"> </w:t>
      </w:r>
      <w:r>
        <w:t xml:space="preserve">evita che un outlier</w:t>
      </w:r>
      <w:r>
        <w:t xml:space="preserve"> </w:t>
      </w:r>
      <w:r>
        <w:t xml:space="preserve">gonfi la varianza residua mascherando se stesso. Sotto H₀ di assenza di</w:t>
      </w:r>
      <w:r>
        <w:t xml:space="preserve"> </w:t>
      </w:r>
      <w:r>
        <w:t xml:space="preserve">outlier,</w:t>
      </w:r>
      <w:r>
        <w:t xml:space="preserve"> </w:t>
      </w:r>
      <m:oMath>
        <m:sSub>
          <m:e>
            <m:r>
              <m:t>t</m:t>
            </m:r>
          </m:e>
          <m:sub>
            <m:r>
              <m:t>i</m:t>
            </m:r>
          </m:sub>
        </m:sSub>
      </m:oMath>
      <w:r>
        <w:t xml:space="preserve"> </w:t>
      </w:r>
      <w:r>
        <w:t xml:space="preserve">segue una distribuzione</w:t>
      </w:r>
      <w:r>
        <w:t xml:space="preserve"> </w:t>
      </w:r>
      <m:oMath>
        <m:r>
          <m:t>t</m:t>
        </m:r>
      </m:oMath>
      <w:r>
        <w:t xml:space="preserve"> </w:t>
      </w:r>
      <w:r>
        <w:t xml:space="preserve">con</w:t>
      </w:r>
      <w:r>
        <w:t xml:space="preserve"> </w:t>
      </w:r>
      <m:oMath>
        <m:r>
          <m:t>n</m:t>
        </m:r>
        <m:r>
          <m:rPr>
            <m:sty m:val="p"/>
          </m:rPr>
          <m:t>−</m:t>
        </m:r>
        <m:r>
          <m:t>p</m:t>
        </m:r>
        <m:r>
          <m:rPr>
            <m:sty m:val="p"/>
          </m:rPr>
          <m:t>−</m:t>
        </m:r>
        <m:r>
          <m:t>1</m:t>
        </m:r>
      </m:oMath>
      <w:r>
        <w:t xml:space="preserve"> </w:t>
      </w:r>
      <w:r>
        <w:t xml:space="preserve">gradi di libertà.</w:t>
      </w:r>
    </w:p>
    <w:p>
      <w:pPr>
        <w:pStyle w:val="BodyText"/>
      </w:pPr>
      <w:r>
        <w:t xml:space="preserve">Il</w:t>
      </w:r>
      <w:r>
        <w:t xml:space="preserve"> </w:t>
      </w:r>
      <w:r>
        <w:rPr>
          <w:b/>
          <w:bCs/>
        </w:rPr>
        <w:t xml:space="preserve">test di Bonferroni</w:t>
      </w:r>
      <w:r>
        <w:t xml:space="preserve"> </w:t>
      </w:r>
      <w:r>
        <w:t xml:space="preserve">corregge il problema dei confronti multipli:</w:t>
      </w:r>
      <w:r>
        <w:t xml:space="preserve"> </w:t>
      </w:r>
      <w:r>
        <w:t xml:space="preserve">eseguendo</w:t>
      </w:r>
      <w:r>
        <w:t xml:space="preserve"> </w:t>
      </w:r>
      <m:oMath>
        <m:r>
          <m:t>n</m:t>
        </m:r>
      </m:oMath>
      <w:r>
        <w:t xml:space="preserve"> </w:t>
      </w:r>
      <w:r>
        <w:t xml:space="preserve">test simultanei (uno per osservazione), la probabilità di</w:t>
      </w:r>
      <w:r>
        <w:t xml:space="preserve"> </w:t>
      </w:r>
      <w:r>
        <w:t xml:space="preserve">ottenere almeno un falso positivo cresce rapidamente. La correzione di</w:t>
      </w:r>
      <w:r>
        <w:t xml:space="preserve"> </w:t>
      </w:r>
      <w:r>
        <w:t xml:space="preserve">Bonferroni abbassa la soglia di significatività a</w:t>
      </w:r>
      <w:r>
        <w:t xml:space="preserve"> </w:t>
      </w:r>
      <m:oMath>
        <m:r>
          <m:t>α</m:t>
        </m:r>
        <m:r>
          <m:rPr>
            <m:sty m:val="p"/>
          </m:rPr>
          <m:t>/</m:t>
        </m:r>
        <m:r>
          <m:t>n</m:t>
        </m:r>
      </m:oMath>
      <w:r>
        <w:t xml:space="preserve">, ovvero</w:t>
      </w:r>
      <w:r>
        <w:t xml:space="preserve"> </w:t>
      </w:r>
      <w:r>
        <w:t xml:space="preserve">moltiplica il p-value non corretto per</w:t>
      </w:r>
      <w:r>
        <w:t xml:space="preserve"> </w:t>
      </w:r>
      <m:oMath>
        <m:r>
          <m:t>n</m:t>
        </m:r>
      </m:oMath>
      <w:r>
        <w:t xml:space="preserve"> </w:t>
      </w:r>
      <w:r>
        <w:t xml:space="preserve">prima di confrontarlo con</w:t>
      </w:r>
      <w:r>
        <w:t xml:space="preserve"> </w:t>
      </w:r>
      <m:oMath>
        <m:r>
          <m:t>α</m:t>
        </m:r>
      </m:oMath>
      <w:r>
        <w:t xml:space="preserve">:</w:t>
      </w:r>
    </w:p>
    <w:p>
      <w:pPr>
        <w:pStyle w:val="BodyText"/>
      </w:pPr>
      <m:oMathPara>
        <m:oMathParaPr>
          <m:jc m:val="center"/>
        </m:oMathParaPr>
        <m:oMath>
          <m:sSub>
            <m:e>
              <m:r>
                <m:t>p</m:t>
              </m:r>
            </m:e>
            <m:sub>
              <m:r>
                <m:rPr>
                  <m:nor/>
                  <m:sty m:val="p"/>
                </m:rPr>
                <m:t>Bonferroni</m:t>
              </m:r>
            </m:sub>
          </m:sSub>
          <m:r>
            <m:rPr>
              <m:sty m:val="p"/>
            </m:rPr>
            <m:t>=</m:t>
          </m:r>
          <m:r>
            <m:rPr>
              <m:sty m:val="p"/>
            </m:rPr>
            <m:t>min</m:t>
          </m:r>
          <m:r>
            <m:rPr>
              <m:sty m:val="p"/>
            </m:rPr>
            <m:t>(</m:t>
          </m:r>
          <m:r>
            <m:t>n</m:t>
          </m:r>
          <m:r>
            <m:rPr>
              <m:sty m:val="p"/>
            </m:rPr>
            <m:t>⋅</m:t>
          </m:r>
          <m:sSub>
            <m:e>
              <m:r>
                <m:t>p</m:t>
              </m:r>
            </m:e>
            <m:sub>
              <m:r>
                <m:rPr>
                  <m:nor/>
                  <m:sty m:val="p"/>
                </m:rPr>
                <m:t>unadj</m:t>
              </m:r>
            </m:sub>
          </m:sSub>
          <m:r>
            <m:rPr>
              <m:sty m:val="p"/>
            </m:rPr>
            <m:t>,</m:t>
          </m:r>
          <m:r>
            <m:t> </m:t>
          </m:r>
          <m:r>
            <m:t>1</m:t>
          </m:r>
          <m:r>
            <m:rPr>
              <m:sty m:val="p"/>
            </m:rPr>
            <m:t>)</m:t>
          </m:r>
        </m:oMath>
      </m:oMathPara>
    </w:p>
    <w:p>
      <w:pPr>
        <w:pStyle w:val="FirstParagraph"/>
      </w:pPr>
      <w:r>
        <w:t xml:space="preserve">Se il p-value corretto è superiore a 0.05, non si rifiuta l’ipotesi nulla</w:t>
      </w:r>
      <w:r>
        <w:t xml:space="preserve"> </w:t>
      </w:r>
      <w:r>
        <w:t xml:space="preserve">di assenza di outlier nell’intero dataset.</w:t>
      </w:r>
    </w:p>
    <w:p>
      <w:pPr>
        <w:pStyle w:val="SourceCode"/>
      </w:pPr>
      <w:r>
        <w:rPr>
          <w:rStyle w:val="VerbatimChar"/>
        </w:rPr>
        <w:t xml:space="preserve">   rstudent unadjusted p-value Bonferroni p</w:t>
      </w:r>
      <w:r>
        <w:br/>
      </w:r>
      <w:r>
        <w:rPr>
          <w:rStyle w:val="VerbatimChar"/>
        </w:rPr>
        <w:t xml:space="preserve">11 3.944488         0.00021504     0.013763</w:t>
      </w:r>
    </w:p>
    <w:p>
      <w:pPr>
        <w:pStyle w:val="FirstParagraph"/>
      </w:pPr>
      <w:r>
        <w:t xml:space="preserve">Il p-value di Bonferroni (</w:t>
      </w:r>
      <m:oMath>
        <m:r>
          <m:t>p</m:t>
        </m:r>
        <m:r>
          <m:rPr>
            <m:sty m:val="p"/>
          </m:rPr>
          <m:t>=</m:t>
        </m:r>
        <m:r>
          <m:t>0.0138</m:t>
        </m:r>
        <m:r>
          <m:rPr>
            <m:sty m:val="p"/>
          </m:rPr>
          <m:t>&lt;</m:t>
        </m:r>
        <m:r>
          <m:t>0.05</m:t>
        </m:r>
      </m:oMath>
      <w:r>
        <w:t xml:space="preserve">) porta al rifiuto di H₀:</w:t>
      </w:r>
      <w:r>
        <w:t xml:space="preserve"> </w:t>
      </w:r>
      <w:r>
        <w:t xml:space="preserve">l’osservazione 11 costituisce un outlier statisticamente significativo anche</w:t>
      </w:r>
      <w:r>
        <w:t xml:space="preserve"> </w:t>
      </w:r>
      <w:r>
        <w:t xml:space="preserve">dopo la correzione per confronti multipli. Si tratta della partita</w:t>
      </w:r>
      <w:r>
        <w:t xml:space="preserve"> </w:t>
      </w:r>
      <w:r>
        <w:t xml:space="preserve">Spagna–Costa Rica (7-0), già segnalata dalla distanza di Cook come</w:t>
      </w:r>
      <w:r>
        <w:t xml:space="preserve"> </w:t>
      </w:r>
      <w:r>
        <w:t xml:space="preserve">osservazione influente. L’impatto di questa osservazione sul modello verrà</w:t>
      </w:r>
      <w:r>
        <w:t xml:space="preserve"> </w:t>
      </w:r>
      <w:r>
        <w:t xml:space="preserve">valutato nella sezione successiva tramite analisi di sensibilità e regressione</w:t>
      </w:r>
      <w:r>
        <w:t xml:space="preserve"> </w:t>
      </w:r>
      <w:r>
        <w:t xml:space="preserve">robusta.</w:t>
      </w:r>
    </w:p>
    <w:bookmarkEnd w:id="46"/>
    <w:bookmarkStart w:id="47" w:name="X1eee0c3b1a06cc622f289bf832dbc21280618f1"/>
    <w:p>
      <w:pPr>
        <w:pStyle w:val="Heading3"/>
      </w:pPr>
      <w:r>
        <w:t xml:space="preserve">4.5.4 Tabella diagnostica per le osservazioni influenti</w:t>
      </w:r>
    </w:p>
    <w:p>
      <w:pPr>
        <w:pStyle w:val="TableCaption"/>
      </w:pPr>
      <w:r>
        <w:t xml:space="preserve">Diagnostica per le osservazioni con Cook elevata</w:t>
      </w:r>
    </w:p>
    <w:tbl>
      <w:tblPr>
        <w:tblStyle w:val="Table"/>
        <w:tblW w:type="pct" w:w="5000"/>
        <w:tblLayout w:type="fixed"/>
        <w:tblLook w:firstRow="1" w:lastRow="0" w:firstColumn="0" w:lastColumn="0" w:noHBand="0" w:noVBand="0" w:val="0020"/>
        <w:tblCaption w:val="Diagnostica per le osservazioni con Cook elevata"/>
      </w:tblPr>
      <w:tblGrid>
        <w:gridCol w:w="804"/>
        <w:gridCol w:w="928"/>
        <w:gridCol w:w="928"/>
        <w:gridCol w:w="990"/>
        <w:gridCol w:w="804"/>
        <w:gridCol w:w="556"/>
        <w:gridCol w:w="1175"/>
        <w:gridCol w:w="804"/>
        <w:gridCol w:w="928"/>
      </w:tblGrid>
      <w:tr>
        <w:trPr>
          <w:tblHeader w:val="on"/>
        </w:trPr>
        <w:tc>
          <w:tcPr/>
          <w:p>
            <w:pPr>
              <w:pStyle w:val="Compact"/>
              <w:jc w:val="right"/>
            </w:pPr>
            <w:r>
              <w:t xml:space="preserve">osservazione</w:t>
            </w:r>
          </w:p>
        </w:tc>
        <w:tc>
          <w:tcPr/>
          <w:p>
            <w:pPr>
              <w:pStyle w:val="Compact"/>
              <w:jc w:val="left"/>
            </w:pPr>
            <w:r>
              <w:t xml:space="preserve">home_team_name</w:t>
            </w:r>
          </w:p>
        </w:tc>
        <w:tc>
          <w:tcPr/>
          <w:p>
            <w:pPr>
              <w:pStyle w:val="Compact"/>
              <w:jc w:val="left"/>
            </w:pPr>
            <w:r>
              <w:t xml:space="preserve">away_team_name</w:t>
            </w:r>
          </w:p>
        </w:tc>
        <w:tc>
          <w:tcPr/>
          <w:p>
            <w:pPr>
              <w:pStyle w:val="Compact"/>
              <w:jc w:val="right"/>
            </w:pPr>
            <w:r>
              <w:t xml:space="preserve">goal_difference</w:t>
            </w:r>
          </w:p>
        </w:tc>
        <w:tc>
          <w:tcPr/>
          <w:p>
            <w:pPr>
              <w:pStyle w:val="Compact"/>
              <w:jc w:val="right"/>
            </w:pPr>
            <w:r>
              <w:t xml:space="preserve">fitted_value</w:t>
            </w:r>
          </w:p>
        </w:tc>
        <w:tc>
          <w:tcPr/>
          <w:p>
            <w:pPr>
              <w:pStyle w:val="Compact"/>
              <w:jc w:val="right"/>
            </w:pPr>
            <w:r>
              <w:t xml:space="preserve">residual</w:t>
            </w:r>
          </w:p>
        </w:tc>
        <w:tc>
          <w:tcPr/>
          <w:p>
            <w:pPr>
              <w:pStyle w:val="Compact"/>
              <w:jc w:val="right"/>
            </w:pPr>
            <w:r>
              <w:t xml:space="preserve">standardized_resid</w:t>
            </w:r>
          </w:p>
        </w:tc>
        <w:tc>
          <w:tcPr/>
          <w:p>
            <w:pPr>
              <w:pStyle w:val="Compact"/>
              <w:jc w:val="right"/>
            </w:pPr>
            <w:r>
              <w:t xml:space="preserve">leverage_val</w:t>
            </w:r>
          </w:p>
        </w:tc>
        <w:tc>
          <w:tcPr/>
          <w:p>
            <w:pPr>
              <w:pStyle w:val="Compact"/>
              <w:jc w:val="right"/>
            </w:pPr>
            <w:r>
              <w:t xml:space="preserve">cooks_distance</w:t>
            </w:r>
          </w:p>
        </w:tc>
      </w:tr>
      <w:tr>
        <w:tc>
          <w:tcPr/>
          <w:p>
            <w:pPr>
              <w:pStyle w:val="Compact"/>
              <w:jc w:val="right"/>
            </w:pPr>
            <w:r>
              <w:t xml:space="preserve">11</w:t>
            </w:r>
          </w:p>
        </w:tc>
        <w:tc>
          <w:tcPr/>
          <w:p>
            <w:pPr>
              <w:pStyle w:val="Compact"/>
              <w:jc w:val="left"/>
            </w:pPr>
            <w:r>
              <w:t xml:space="preserve">Spain</w:t>
            </w:r>
          </w:p>
        </w:tc>
        <w:tc>
          <w:tcPr/>
          <w:p>
            <w:pPr>
              <w:pStyle w:val="Compact"/>
              <w:jc w:val="left"/>
            </w:pPr>
            <w:r>
              <w:t xml:space="preserve">Costa Rica</w:t>
            </w:r>
          </w:p>
        </w:tc>
        <w:tc>
          <w:tcPr/>
          <w:p>
            <w:pPr>
              <w:pStyle w:val="Compact"/>
              <w:jc w:val="right"/>
            </w:pPr>
            <w:r>
              <w:t xml:space="preserve">7</w:t>
            </w:r>
          </w:p>
        </w:tc>
        <w:tc>
          <w:tcPr/>
          <w:p>
            <w:pPr>
              <w:pStyle w:val="Compact"/>
              <w:jc w:val="right"/>
            </w:pPr>
            <w:r>
              <w:t xml:space="preserve">1.605</w:t>
            </w:r>
          </w:p>
        </w:tc>
        <w:tc>
          <w:tcPr/>
          <w:p>
            <w:pPr>
              <w:pStyle w:val="Compact"/>
              <w:jc w:val="right"/>
            </w:pPr>
            <w:r>
              <w:t xml:space="preserve">5.395</w:t>
            </w:r>
          </w:p>
        </w:tc>
        <w:tc>
          <w:tcPr/>
          <w:p>
            <w:pPr>
              <w:pStyle w:val="Compact"/>
              <w:jc w:val="right"/>
            </w:pPr>
            <w:r>
              <w:t xml:space="preserve">3.538</w:t>
            </w:r>
          </w:p>
        </w:tc>
        <w:tc>
          <w:tcPr/>
          <w:p>
            <w:pPr>
              <w:pStyle w:val="Compact"/>
              <w:jc w:val="right"/>
            </w:pPr>
            <w:r>
              <w:t xml:space="preserve">0.062</w:t>
            </w:r>
          </w:p>
        </w:tc>
        <w:tc>
          <w:tcPr/>
          <w:p>
            <w:pPr>
              <w:pStyle w:val="Compact"/>
              <w:jc w:val="right"/>
            </w:pPr>
            <w:r>
              <w:t xml:space="preserve">0.207</w:t>
            </w:r>
          </w:p>
        </w:tc>
      </w:tr>
      <w:tr>
        <w:tc>
          <w:tcPr/>
          <w:p>
            <w:pPr>
              <w:pStyle w:val="Compact"/>
              <w:jc w:val="right"/>
            </w:pPr>
            <w:r>
              <w:t xml:space="preserve">50</w:t>
            </w:r>
          </w:p>
        </w:tc>
        <w:tc>
          <w:tcPr/>
          <w:p>
            <w:pPr>
              <w:pStyle w:val="Compact"/>
              <w:jc w:val="left"/>
            </w:pPr>
            <w:r>
              <w:t xml:space="preserve">Argentina</w:t>
            </w:r>
          </w:p>
        </w:tc>
        <w:tc>
          <w:tcPr/>
          <w:p>
            <w:pPr>
              <w:pStyle w:val="Compact"/>
              <w:jc w:val="left"/>
            </w:pPr>
            <w:r>
              <w:t xml:space="preserve">Australia</w:t>
            </w:r>
          </w:p>
        </w:tc>
        <w:tc>
          <w:tcPr/>
          <w:p>
            <w:pPr>
              <w:pStyle w:val="Compact"/>
              <w:jc w:val="right"/>
            </w:pPr>
            <w:r>
              <w:t xml:space="preserve">1</w:t>
            </w:r>
          </w:p>
        </w:tc>
        <w:tc>
          <w:tcPr/>
          <w:p>
            <w:pPr>
              <w:pStyle w:val="Compact"/>
              <w:jc w:val="right"/>
            </w:pPr>
            <w:r>
              <w:t xml:space="preserve">2.994</w:t>
            </w:r>
          </w:p>
        </w:tc>
        <w:tc>
          <w:tcPr/>
          <w:p>
            <w:pPr>
              <w:pStyle w:val="Compact"/>
              <w:jc w:val="right"/>
            </w:pPr>
            <w:r>
              <w:t xml:space="preserve">-1.994</w:t>
            </w:r>
          </w:p>
        </w:tc>
        <w:tc>
          <w:tcPr/>
          <w:p>
            <w:pPr>
              <w:pStyle w:val="Compact"/>
              <w:jc w:val="right"/>
            </w:pPr>
            <w:r>
              <w:t xml:space="preserve">-1.351</w:t>
            </w:r>
          </w:p>
        </w:tc>
        <w:tc>
          <w:tcPr/>
          <w:p>
            <w:pPr>
              <w:pStyle w:val="Compact"/>
              <w:jc w:val="right"/>
            </w:pPr>
            <w:r>
              <w:t xml:space="preserve">0.121</w:t>
            </w:r>
          </w:p>
        </w:tc>
        <w:tc>
          <w:tcPr/>
          <w:p>
            <w:pPr>
              <w:pStyle w:val="Compact"/>
              <w:jc w:val="right"/>
            </w:pPr>
            <w:r>
              <w:t xml:space="preserve">0.063</w:t>
            </w:r>
          </w:p>
        </w:tc>
      </w:tr>
      <w:tr>
        <w:tc>
          <w:tcPr/>
          <w:p>
            <w:pPr>
              <w:pStyle w:val="Compact"/>
              <w:jc w:val="right"/>
            </w:pPr>
            <w:r>
              <w:t xml:space="preserve">56</w:t>
            </w:r>
          </w:p>
        </w:tc>
        <w:tc>
          <w:tcPr/>
          <w:p>
            <w:pPr>
              <w:pStyle w:val="Compact"/>
              <w:jc w:val="left"/>
            </w:pPr>
            <w:r>
              <w:t xml:space="preserve">Portugal</w:t>
            </w:r>
          </w:p>
        </w:tc>
        <w:tc>
          <w:tcPr/>
          <w:p>
            <w:pPr>
              <w:pStyle w:val="Compact"/>
              <w:jc w:val="left"/>
            </w:pPr>
            <w:r>
              <w:t xml:space="preserve">Switzerland</w:t>
            </w:r>
          </w:p>
        </w:tc>
        <w:tc>
          <w:tcPr/>
          <w:p>
            <w:pPr>
              <w:pStyle w:val="Compact"/>
              <w:jc w:val="right"/>
            </w:pPr>
            <w:r>
              <w:t xml:space="preserve">5</w:t>
            </w:r>
          </w:p>
        </w:tc>
        <w:tc>
          <w:tcPr/>
          <w:p>
            <w:pPr>
              <w:pStyle w:val="Compact"/>
              <w:jc w:val="right"/>
            </w:pPr>
            <w:r>
              <w:t xml:space="preserve">2.032</w:t>
            </w:r>
          </w:p>
        </w:tc>
        <w:tc>
          <w:tcPr/>
          <w:p>
            <w:pPr>
              <w:pStyle w:val="Compact"/>
              <w:jc w:val="right"/>
            </w:pPr>
            <w:r>
              <w:t xml:space="preserve">2.968</w:t>
            </w:r>
          </w:p>
        </w:tc>
        <w:tc>
          <w:tcPr/>
          <w:p>
            <w:pPr>
              <w:pStyle w:val="Compact"/>
              <w:jc w:val="right"/>
            </w:pPr>
            <w:r>
              <w:t xml:space="preserve">1.976</w:t>
            </w:r>
          </w:p>
        </w:tc>
        <w:tc>
          <w:tcPr/>
          <w:p>
            <w:pPr>
              <w:pStyle w:val="Compact"/>
              <w:jc w:val="right"/>
            </w:pPr>
            <w:r>
              <w:t xml:space="preserve">0.090</w:t>
            </w:r>
          </w:p>
        </w:tc>
        <w:tc>
          <w:tcPr/>
          <w:p>
            <w:pPr>
              <w:pStyle w:val="Compact"/>
              <w:jc w:val="right"/>
            </w:pPr>
            <w:r>
              <w:t xml:space="preserve">0.096</w:t>
            </w:r>
          </w:p>
        </w:tc>
      </w:tr>
    </w:tbl>
    <w:p>
      <w:pPr>
        <w:pStyle w:val="BodyText"/>
      </w:pPr>
      <w:r>
        <w:t xml:space="preserve">Le osservazioni influenti corrispondono tipicamente a partite con scarti estremi (es. Spagna–Costa Rica 7-0) che il modello non riesce a prevedere correttamente. Il fatto che siano poche e che il modello sia consistente con e senza di esse (si veda la sezione di analisi di sensibilità) ne limita l’impatto complessivo.</w:t>
      </w:r>
    </w:p>
    <w:bookmarkEnd w:id="47"/>
    <w:bookmarkEnd w:id="48"/>
    <w:bookmarkEnd w:id="49"/>
    <w:bookmarkStart w:id="52" w:name="analisi-di-sensibilità"/>
    <w:p>
      <w:pPr>
        <w:pStyle w:val="Heading1"/>
      </w:pPr>
      <w:r>
        <w:t xml:space="preserve">5. Analisi di sensibilità</w:t>
      </w:r>
    </w:p>
    <w:bookmarkStart w:id="50" w:name="esclusione-delle-osservazioni-influenti"/>
    <w:p>
      <w:pPr>
        <w:pStyle w:val="Heading2"/>
      </w:pPr>
      <w:r>
        <w:t xml:space="preserve">5.1 Esclusione delle osservazioni influenti</w:t>
      </w:r>
    </w:p>
    <w:p>
      <w:pPr>
        <w:pStyle w:val="FirstParagraph"/>
      </w:pPr>
      <w:r>
        <w:t xml:space="preserve">Si ricalcola il modello escludendo le osservazioni con distanza di Cook superiore alla soglia, per verificare che le stime non dipendano eccessivamente da esse.</w:t>
      </w:r>
    </w:p>
    <w:p>
      <w:pPr>
        <w:pStyle w:val="SourceCode"/>
      </w:pPr>
      <w:r>
        <w:br/>
      </w:r>
      <w:r>
        <w:rPr>
          <w:rStyle w:val="VerbatimChar"/>
        </w:rPr>
        <w:t xml:space="preserve">Call:</w:t>
      </w:r>
      <w:r>
        <w:br/>
      </w:r>
      <w:r>
        <w:rPr>
          <w:rStyle w:val="VerbatimChar"/>
        </w:rPr>
        <w:t xml:space="preserve">lm(formula = goal_difference ~ pre_match_ppg_positive + implied_probability_difference + </w:t>
      </w:r>
      <w:r>
        <w:br/>
      </w:r>
      <w:r>
        <w:rPr>
          <w:rStyle w:val="VerbatimChar"/>
        </w:rPr>
        <w:t xml:space="preserve">    knockout, data = model_data_sensitivity)</w:t>
      </w:r>
      <w:r>
        <w:br/>
      </w:r>
      <w:r>
        <w:br/>
      </w:r>
      <w:r>
        <w:rPr>
          <w:rStyle w:val="VerbatimChar"/>
        </w:rPr>
        <w:t xml:space="preserve">Residuals:</w:t>
      </w:r>
      <w:r>
        <w:br/>
      </w:r>
      <w:r>
        <w:rPr>
          <w:rStyle w:val="VerbatimChar"/>
        </w:rPr>
        <w:t xml:space="preserve">     Min       1Q   Median       3Q      Max </w:t>
      </w:r>
      <w:r>
        <w:br/>
      </w:r>
      <w:r>
        <w:rPr>
          <w:rStyle w:val="VerbatimChar"/>
        </w:rPr>
        <w:t xml:space="preserve">-2.52393 -0.84384 -0.08748  0.94446  2.80257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0.06093    0.24679   0.247 0.805886    </w:t>
      </w:r>
      <w:r>
        <w:br/>
      </w:r>
      <w:r>
        <w:rPr>
          <w:rStyle w:val="VerbatimChar"/>
        </w:rPr>
        <w:t xml:space="preserve">pre_match_ppg_positive         -0.34309    0.36025  -0.952 0.344937    </w:t>
      </w:r>
      <w:r>
        <w:br/>
      </w:r>
      <w:r>
        <w:rPr>
          <w:rStyle w:val="VerbatimChar"/>
        </w:rPr>
        <w:t xml:space="preserve">implied_probability_difference  1.77065    0.42340   4.182 0.000101 ***</w:t>
      </w:r>
      <w:r>
        <w:br/>
      </w:r>
      <w:r>
        <w:rPr>
          <w:rStyle w:val="VerbatimChar"/>
        </w:rPr>
        <w:t xml:space="preserve">knockout                        1.19449    0.42790   2.792 0.007126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1.356 on 57 degrees of freedom</w:t>
      </w:r>
      <w:r>
        <w:br/>
      </w:r>
      <w:r>
        <w:rPr>
          <w:rStyle w:val="VerbatimChar"/>
        </w:rPr>
        <w:t xml:space="preserve">Multiple R-squared:  0.3113,    Adjusted R-squared:  0.275 </w:t>
      </w:r>
      <w:r>
        <w:br/>
      </w:r>
      <w:r>
        <w:rPr>
          <w:rStyle w:val="VerbatimChar"/>
        </w:rPr>
        <w:t xml:space="preserve">F-statistic: 8.586 on 3 and 57 DF,  p-value: 8.554e-05</w:t>
      </w:r>
    </w:p>
    <w:p>
      <w:pPr>
        <w:pStyle w:val="FirstParagraph"/>
      </w:pPr>
      <w:r>
        <w:t xml:space="preserve">Il modello stima la differenza reti in funzione di tre predittori e risulta globalmente significativo (F = 8.586, p &lt; 0.001), spiegando circa il 31% della varianza (R² aggiustato = 0.275). Il predittore più rilevante è la differenza di probabilità implicita ricavata dalle quote (</w:t>
      </w:r>
      <w:r>
        <w:rPr>
          <w:rStyle w:val="VerbatimChar"/>
        </w:rPr>
        <w:t xml:space="preserve">implied_probability_difference</w:t>
      </w:r>
      <w:r>
        <w:t xml:space="preserve">, β = 1.771, p &lt; 0.001), a conferma che il mercato delle scommesse cattura efficacemente il divario di forza tra le squadre. Anche la variabile</w:t>
      </w:r>
      <w:r>
        <w:t xml:space="preserve"> </w:t>
      </w:r>
      <w:r>
        <w:rPr>
          <w:rStyle w:val="VerbatimChar"/>
        </w:rPr>
        <w:t xml:space="preserve">knockout</w:t>
      </w:r>
      <w:r>
        <w:t xml:space="preserve"> </w:t>
      </w:r>
      <w:r>
        <w:t xml:space="preserve">risulta significativa (β = 1.194, p = 0.007), indicando che le partite a eliminazione diretta tendono a produrre margini di vittoria più ampi. La forma recente della squadra favorita (</w:t>
      </w:r>
      <w:r>
        <w:rPr>
          <w:rStyle w:val="VerbatimChar"/>
        </w:rPr>
        <w:t xml:space="preserve">pre_match_ppg_positive</w:t>
      </w:r>
      <w:r>
        <w:t xml:space="preserve">) non raggiunge invece la significatività statistica (p = 0.345), probabilmente perché l’informazione che essa veicola è già incorporata nelle quote di mercato.</w:t>
      </w:r>
    </w:p>
    <w:p>
      <w:pPr>
        <w:pStyle w:val="SourceCode"/>
      </w:pPr>
      <w:r>
        <w:br/>
      </w:r>
      <w:r>
        <w:rPr>
          <w:rStyle w:val="VerbatimChar"/>
        </w:rPr>
        <w:t xml:space="preserve">t test of coefficients:</w:t>
      </w:r>
      <w:r>
        <w:br/>
      </w:r>
      <w:r>
        <w:br/>
      </w:r>
      <w:r>
        <w:rPr>
          <w:rStyle w:val="VerbatimChar"/>
        </w:rPr>
        <w:t xml:space="preserve">                                Estimate Std. Error t value  Pr(&gt;|t|)    </w:t>
      </w:r>
      <w:r>
        <w:br/>
      </w:r>
      <w:r>
        <w:rPr>
          <w:rStyle w:val="VerbatimChar"/>
        </w:rPr>
        <w:t xml:space="preserve">(Intercept)                     0.060928   0.269121  0.2264 0.8217028    </w:t>
      </w:r>
      <w:r>
        <w:br/>
      </w:r>
      <w:r>
        <w:rPr>
          <w:rStyle w:val="VerbatimChar"/>
        </w:rPr>
        <w:t xml:space="preserve">pre_match_ppg_positive         -0.343089   0.355312 -0.9656 0.3383234    </w:t>
      </w:r>
      <w:r>
        <w:br/>
      </w:r>
      <w:r>
        <w:rPr>
          <w:rStyle w:val="VerbatimChar"/>
        </w:rPr>
        <w:t xml:space="preserve">implied_probability_difference  1.770652   0.490129  3.6126 0.0006417 ***</w:t>
      </w:r>
      <w:r>
        <w:br/>
      </w:r>
      <w:r>
        <w:rPr>
          <w:rStyle w:val="VerbatimChar"/>
        </w:rPr>
        <w:t xml:space="preserve">knockout                        1.194493   0.329779  3.6221 0.0006229 ***</w:t>
      </w:r>
      <w:r>
        <w:br/>
      </w:r>
      <w:r>
        <w:rPr>
          <w:rStyle w:val="VerbatimChar"/>
        </w:rPr>
        <w:t xml:space="preserve">---</w:t>
      </w:r>
      <w:r>
        <w:br/>
      </w:r>
      <w:r>
        <w:rPr>
          <w:rStyle w:val="VerbatimChar"/>
        </w:rPr>
        <w:t xml:space="preserve">Signif. codes:  0 '***' 0.001 '**' 0.01 '*' 0.05 '.' 0.1 ' ' 1</w:t>
      </w:r>
    </w:p>
    <w:p>
      <w:pPr>
        <w:pStyle w:val="FirstParagraph"/>
      </w:pPr>
      <w:r>
        <w:t xml:space="preserve">I coefficienti del modello privo delle osservazioni influenti rimangono dello stesso segno e dello stesso ordine di grandezza di quelli del modello completo. La variazione nei valori puntuali è modesta, il che indica che le stime non sono trainate da poche partite anomale. Questo esito rassicura sulla robustezza del modello finale.</w:t>
      </w:r>
    </w:p>
    <w:bookmarkEnd w:id="50"/>
    <w:bookmarkStart w:id="51" w:name="regressione-robusta-m-estimation"/>
    <w:p>
      <w:pPr>
        <w:pStyle w:val="Heading2"/>
      </w:pPr>
      <w:r>
        <w:t xml:space="preserve">5.2 Regressione robusta M-estimation</w:t>
      </w:r>
    </w:p>
    <w:p>
      <w:pPr>
        <w:pStyle w:val="FirstParagraph"/>
      </w:pPr>
      <w:r>
        <w:t xml:space="preserve">La regressione robusta con M-estimation (Huber e Bisquare) riduce progressivamente il peso delle osservazioni con residui grandi tramite la procedura IRLS (Iteratively Reweighted Least Squares), senza eliminare le partite influenti ma attenuandone l’effetto. A differenza della regressione OLS, che minimizza la somma dei quadrati dei residui</w:t>
      </w:r>
      <w:r>
        <w:t xml:space="preserve"> </w:t>
      </w:r>
      <m:oMath>
        <m:nary>
          <m:naryPr>
            <m:chr m:val="∑"/>
            <m:limLoc m:val="undOvr"/>
            <m:subHide m:val="off"/>
            <m:supHide m:val="off"/>
          </m:naryPr>
          <m:sub>
            <m:r>
              <m:t>i</m:t>
            </m:r>
            <m:r>
              <m:rPr>
                <m:sty m:val="p"/>
              </m:rPr>
              <m:t>=</m:t>
            </m:r>
            <m:r>
              <m:t>1</m:t>
            </m:r>
          </m:sub>
          <m:sup>
            <m:r>
              <m:t>n</m:t>
            </m:r>
          </m:sup>
          <m:e>
            <m:sSubSup>
              <m:e>
                <m:r>
                  <m:t>e</m:t>
                </m:r>
              </m:e>
              <m:sub>
                <m:r>
                  <m:t>i</m:t>
                </m:r>
              </m:sub>
              <m:sup>
                <m:r>
                  <m:t>2</m:t>
                </m:r>
              </m:sup>
            </m:sSubSup>
          </m:e>
        </m:nary>
      </m:oMath>
      <w:r>
        <w:t xml:space="preserve">, l’M-estimation minimizza una funzione di perdita più generale:</w:t>
      </w:r>
    </w:p>
    <w:p>
      <w:pPr>
        <w:pStyle w:val="BodyText"/>
      </w:pPr>
      <m:oMathPara>
        <m:oMathParaPr>
          <m:jc m:val="center"/>
        </m:oMathParaPr>
        <m:oMath>
          <m:limLow>
            <m:e>
              <m:r>
                <m:rPr>
                  <m:sty m:val="p"/>
                </m:rPr>
                <m:t>min</m:t>
              </m:r>
            </m:e>
            <m:lim>
              <m:r>
                <m:rPr>
                  <m:sty m:val="b"/>
                </m:rPr>
                <m:t>β</m:t>
              </m:r>
            </m:lim>
          </m:limLow>
          <m:nary>
            <m:naryPr>
              <m:chr m:val="∑"/>
              <m:limLoc m:val="undOvr"/>
              <m:subHide m:val="off"/>
              <m:supHide m:val="off"/>
            </m:naryPr>
            <m:sub>
              <m:r>
                <m:t>i</m:t>
              </m:r>
              <m:r>
                <m:rPr>
                  <m:sty m:val="p"/>
                </m:rPr>
                <m:t>=</m:t>
              </m:r>
              <m:r>
                <m:t>1</m:t>
              </m:r>
            </m:sub>
            <m:sup>
              <m:r>
                <m:t>n</m:t>
              </m:r>
            </m:sup>
            <m:e>
              <m:r>
                <m:t>ρ</m:t>
              </m:r>
            </m:e>
          </m:nary>
          <m:r>
            <m:rPr>
              <m:sty m:val="p"/>
            </m:rPr>
            <m:t>(</m:t>
          </m:r>
          <m:sSub>
            <m:e>
              <m:r>
                <m:t>e</m:t>
              </m:r>
            </m:e>
            <m:sub>
              <m:r>
                <m:t>i</m:t>
              </m:r>
            </m:sub>
          </m:sSub>
          <m:r>
            <m:rPr>
              <m:sty m:val="p"/>
            </m:rPr>
            <m:t>)</m:t>
          </m:r>
        </m:oMath>
      </m:oMathPara>
    </w:p>
    <w:p>
      <w:pPr>
        <w:pStyle w:val="FirstParagraph"/>
      </w:pPr>
      <w:r>
        <w:t xml:space="preserve">dove</w:t>
      </w:r>
      <w:r>
        <w:t xml:space="preserve"> </w:t>
      </w:r>
      <m:oMath>
        <m:r>
          <m:t>ρ</m:t>
        </m:r>
        <m:r>
          <m:rPr>
            <m:sty m:val="p"/>
          </m:rPr>
          <m:t>(</m:t>
        </m:r>
        <m:r>
          <m:rPr>
            <m:sty m:val="p"/>
          </m:rPr>
          <m:t>⋅</m:t>
        </m:r>
        <m:r>
          <m:rPr>
            <m:sty m:val="p"/>
          </m:rPr>
          <m:t>)</m:t>
        </m:r>
      </m:oMath>
      <w:r>
        <w:t xml:space="preserve"> </w:t>
      </w:r>
      <w:r>
        <w:t xml:space="preserve">è una funzione non negativa, simmetrica e crescente in</w:t>
      </w:r>
      <w:r>
        <w:t xml:space="preserve"> </w:t>
      </w:r>
      <m:oMath>
        <m:r>
          <m:rPr>
            <m:sty m:val="p"/>
          </m:rPr>
          <m:t>|</m:t>
        </m:r>
        <m:sSub>
          <m:e>
            <m:r>
              <m:t>e</m:t>
            </m:r>
          </m:e>
          <m:sub>
            <m:r>
              <m:t>i</m:t>
            </m:r>
          </m:sub>
        </m:sSub>
        <m:r>
          <m:rPr>
            <m:sty m:val="p"/>
          </m:rPr>
          <m:t>|</m:t>
        </m:r>
      </m:oMath>
      <w:r>
        <w:t xml:space="preserve">, che controlla il</w:t>
      </w:r>
      <w:r>
        <w:t xml:space="preserve"> </w:t>
      </w:r>
      <w:r>
        <w:t xml:space="preserve">“costo”</w:t>
      </w:r>
      <w:r>
        <w:t xml:space="preserve"> </w:t>
      </w:r>
      <w:r>
        <w:t xml:space="preserve">associato a ciascun residuo</w:t>
      </w:r>
      <w:r>
        <w:t xml:space="preserve"> </w:t>
      </w:r>
      <m:oMath>
        <m:sSub>
          <m:e>
            <m:r>
              <m:t>e</m:t>
            </m:r>
          </m:e>
          <m:sub>
            <m:r>
              <m:t>i</m:t>
            </m:r>
          </m:sub>
        </m:sSub>
        <m:r>
          <m:rPr>
            <m:sty m:val="p"/>
          </m:rPr>
          <m:t>=</m:t>
        </m:r>
        <m:sSub>
          <m:e>
            <m:r>
              <m:t>y</m:t>
            </m:r>
          </m:e>
          <m:sub>
            <m:r>
              <m:t>i</m:t>
            </m:r>
          </m:sub>
        </m:sSub>
        <m:r>
          <m:rPr>
            <m:sty m:val="p"/>
          </m:rPr>
          <m:t>−</m:t>
        </m:r>
        <m:sSubSup>
          <m:e>
            <m:r>
              <m:rPr>
                <m:sty m:val="b"/>
              </m:rPr>
              <m:t>x</m:t>
            </m:r>
          </m:e>
          <m:sub>
            <m:r>
              <m:t>i</m:t>
            </m:r>
          </m:sub>
          <m:sup>
            <m:r>
              <m:rPr>
                <m:sty m:val="p"/>
              </m:rPr>
              <m:t>⊤</m:t>
            </m:r>
          </m:sup>
        </m:sSubSup>
        <m:r>
          <m:rPr>
            <m:sty m:val="b"/>
          </m:rPr>
          <m:t>β</m:t>
        </m:r>
      </m:oMath>
      <w:r>
        <w:t xml:space="preserve">. Il metodo può essere interpretato come una regressione ai minimi quadrati pesati, in cui ogni osservazione riceve un peso</w:t>
      </w:r>
      <w:r>
        <w:t xml:space="preserve"> </w:t>
      </w:r>
      <m:oMath>
        <m:sSub>
          <m:e>
            <m:r>
              <m:t>w</m:t>
            </m:r>
          </m:e>
          <m:sub>
            <m:r>
              <m:t>i</m:t>
            </m:r>
          </m:sub>
        </m:sSub>
      </m:oMath>
      <w:r>
        <w:t xml:space="preserve"> </w:t>
      </w:r>
      <w:r>
        <w:t xml:space="preserve">dipendente dal proprio residuo. Le equazioni normali diventano:</w:t>
      </w:r>
    </w:p>
    <w:p>
      <w:pPr>
        <w:pStyle w:val="BodyText"/>
      </w:pPr>
      <m:oMathPara>
        <m:oMathParaPr>
          <m:jc m:val="center"/>
        </m:oMathParaPr>
        <m:oMath>
          <m:acc>
            <m:accPr>
              <m:chr m:val="̂"/>
            </m:accPr>
            <m:e>
              <m:r>
                <m:rPr>
                  <m:sty m:val="b"/>
                </m:rPr>
                <m:t>β</m:t>
              </m:r>
            </m:e>
          </m:acc>
          <m:r>
            <m:rPr>
              <m:sty m:val="p"/>
            </m:rPr>
            <m:t>=</m:t>
          </m:r>
          <m:sSup>
            <m:e>
              <m:d>
                <m:dPr>
                  <m:begChr m:val="("/>
                  <m:sepChr m:val=""/>
                  <m:endChr m:val=")"/>
                  <m:grow/>
                </m:dPr>
                <m:e>
                  <m:sSup>
                    <m:e>
                      <m:r>
                        <m:rPr>
                          <m:sty m:val="b"/>
                        </m:rPr>
                        <m:t>X</m:t>
                      </m:r>
                    </m:e>
                    <m:sup>
                      <m:r>
                        <m:rPr>
                          <m:sty m:val="p"/>
                        </m:rPr>
                        <m:t>⊤</m:t>
                      </m:r>
                    </m:sup>
                  </m:sSup>
                  <m:r>
                    <m:rPr>
                      <m:sty m:val="b"/>
                    </m:rPr>
                    <m:t>W</m:t>
                  </m:r>
                  <m:r>
                    <m:rPr>
                      <m:sty m:val="b"/>
                    </m:rPr>
                    <m:t>X</m:t>
                  </m:r>
                </m:e>
              </m:d>
            </m:e>
            <m:sup>
              <m:r>
                <m:rPr>
                  <m:sty m:val="p"/>
                </m:rPr>
                <m:t>−</m:t>
              </m:r>
              <m:r>
                <m:t>1</m:t>
              </m:r>
            </m:sup>
          </m:sSup>
          <m:sSup>
            <m:e>
              <m:r>
                <m:rPr>
                  <m:sty m:val="b"/>
                </m:rPr>
                <m:t>X</m:t>
              </m:r>
            </m:e>
            <m:sup>
              <m:r>
                <m:rPr>
                  <m:sty m:val="p"/>
                </m:rPr>
                <m:t>⊤</m:t>
              </m:r>
            </m:sup>
          </m:sSup>
          <m:r>
            <m:rPr>
              <m:sty m:val="b"/>
            </m:rPr>
            <m:t>W</m:t>
          </m:r>
          <m:r>
            <m:rPr>
              <m:sty m:val="b"/>
            </m:rPr>
            <m:t>y</m:t>
          </m:r>
        </m:oMath>
      </m:oMathPara>
    </w:p>
    <w:p>
      <w:pPr>
        <w:pStyle w:val="FirstParagraph"/>
      </w:pPr>
      <w:r>
        <w:t xml:space="preserve">dove</w:t>
      </w:r>
      <w:r>
        <w:t xml:space="preserve"> </w:t>
      </w:r>
      <m:oMath>
        <m:r>
          <m:rPr>
            <m:sty m:val="b"/>
          </m:rPr>
          <m:t>W</m:t>
        </m:r>
        <m:r>
          <m:rPr>
            <m:sty m:val="p"/>
          </m:rPr>
          <m:t>=</m:t>
        </m:r>
        <m:r>
          <m:rPr>
            <m:sty m:val="p"/>
          </m:rPr>
          <m:t>d</m:t>
        </m:r>
        <m:r>
          <m:rPr>
            <m:sty m:val="p"/>
          </m:rPr>
          <m:t>i</m:t>
        </m:r>
        <m:r>
          <m:rPr>
            <m:sty m:val="p"/>
          </m:rPr>
          <m:t>a</m:t>
        </m:r>
        <m:r>
          <m:rPr>
            <m:sty m:val="p"/>
          </m:rPr>
          <m:t>g</m:t>
        </m:r>
        <m:r>
          <m:rPr>
            <m:sty m:val="p"/>
          </m:rPr>
          <m:t>(</m:t>
        </m:r>
        <m:sSub>
          <m:e>
            <m:r>
              <m:t>w</m:t>
            </m:r>
          </m:e>
          <m:sub>
            <m:r>
              <m:t>1</m:t>
            </m:r>
          </m:sub>
        </m:sSub>
        <m:r>
          <m:rPr>
            <m:sty m:val="p"/>
          </m:rPr>
          <m:t>,</m:t>
        </m:r>
        <m:r>
          <m:rPr>
            <m:sty m:val="p"/>
          </m:rPr>
          <m:t>…</m:t>
        </m:r>
        <m:r>
          <m:rPr>
            <m:sty m:val="p"/>
          </m:rPr>
          <m:t>,</m:t>
        </m:r>
        <m:sSub>
          <m:e>
            <m:r>
              <m:t>w</m:t>
            </m:r>
          </m:e>
          <m:sub>
            <m:r>
              <m:t>n</m:t>
            </m:r>
          </m:sub>
        </m:sSub>
        <m:r>
          <m:rPr>
            <m:sty m:val="p"/>
          </m:rPr>
          <m:t>)</m:t>
        </m:r>
      </m:oMath>
      <w:r>
        <w:t xml:space="preserve">. Poiché i pesi dipendono dai residui e i residui dai coefficienti, la soluzione viene ottenuta tramite l’algoritmo IRLS: si parte da una stima iniziale OLS, si calcolano i residui, si aggiornano i pesi e si ricalcolano i coefficienti, ripetendo il ciclo fino a convergenza</w:t>
      </w:r>
      <w:r>
        <w:t xml:space="preserve"> </w:t>
      </w:r>
      <m:oMath>
        <m:r>
          <m:rPr>
            <m:sty m:val="p"/>
          </m:rPr>
          <m:t>∥</m:t>
        </m:r>
        <m:sSup>
          <m:e>
            <m:acc>
              <m:accPr>
                <m:chr m:val="̂"/>
              </m:accPr>
              <m:e>
                <m:r>
                  <m:rPr>
                    <m:sty m:val="b"/>
                  </m:rPr>
                  <m:t>β</m:t>
                </m:r>
              </m:e>
            </m:acc>
          </m:e>
          <m:sup>
            <m:r>
              <m:rPr>
                <m:sty m:val="p"/>
              </m:rPr>
              <m:t>(</m:t>
            </m:r>
            <m:r>
              <m:t>t</m:t>
            </m:r>
            <m:r>
              <m:rPr>
                <m:sty m:val="p"/>
              </m:rPr>
              <m:t>+</m:t>
            </m:r>
            <m:r>
              <m:t>1</m:t>
            </m:r>
            <m:r>
              <m:rPr>
                <m:sty m:val="p"/>
              </m:rPr>
              <m:t>)</m:t>
            </m:r>
          </m:sup>
        </m:sSup>
        <m:r>
          <m:rPr>
            <m:sty m:val="p"/>
          </m:rPr>
          <m:t>−</m:t>
        </m:r>
        <m:sSup>
          <m:e>
            <m:acc>
              <m:accPr>
                <m:chr m:val="̂"/>
              </m:accPr>
              <m:e>
                <m:r>
                  <m:rPr>
                    <m:sty m:val="b"/>
                  </m:rPr>
                  <m:t>β</m:t>
                </m:r>
              </m:e>
            </m:acc>
          </m:e>
          <m:sup>
            <m:r>
              <m:rPr>
                <m:sty m:val="p"/>
              </m:rPr>
              <m:t>(</m:t>
            </m:r>
            <m:r>
              <m:t>t</m:t>
            </m:r>
            <m:r>
              <m:rPr>
                <m:sty m:val="p"/>
              </m:rPr>
              <m:t>)</m:t>
            </m:r>
          </m:sup>
        </m:sSup>
        <m:r>
          <m:rPr>
            <m:sty m:val="p"/>
          </m:rPr>
          <m:t>∥</m:t>
        </m:r>
        <m:r>
          <m:rPr>
            <m:sty m:val="p"/>
          </m:rPr>
          <m:t>&lt;</m:t>
        </m:r>
        <m:r>
          <m:t>ε</m:t>
        </m:r>
      </m:oMath>
      <w:r>
        <w:t xml:space="preserve">.</w:t>
      </w:r>
    </w:p>
    <w:p>
      <w:pPr>
        <w:pStyle w:val="BodyText"/>
      </w:pPr>
      <w:r>
        <w:t xml:space="preserve">Il metodo di</w:t>
      </w:r>
      <w:r>
        <w:t xml:space="preserve"> </w:t>
      </w:r>
      <w:r>
        <w:rPr>
          <w:b/>
          <w:bCs/>
        </w:rPr>
        <w:t xml:space="preserve">Huber</w:t>
      </w:r>
      <w:r>
        <w:t xml:space="preserve"> </w:t>
      </w:r>
      <w:r>
        <w:t xml:space="preserve">adotta una funzione obiettivo ibrida:</w:t>
      </w:r>
    </w:p>
    <w:p>
      <w:pPr>
        <w:pStyle w:val="BodyText"/>
      </w:pPr>
      <m:oMathPara>
        <m:oMathParaPr>
          <m:jc m:val="center"/>
        </m:oMathParaPr>
        <m:oMath>
          <m:sSub>
            <m:e>
              <m:r>
                <m:t>ρ</m:t>
              </m:r>
            </m:e>
            <m:sub>
              <m:r>
                <m:t>H</m:t>
              </m:r>
            </m:sub>
          </m:sSub>
          <m:r>
            <m:rPr>
              <m:sty m:val="p"/>
            </m:rPr>
            <m:t>(</m:t>
          </m:r>
          <m:sSub>
            <m:e>
              <m:r>
                <m:t>e</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2</m:t>
                        </m:r>
                      </m:den>
                    </m:f>
                    <m:sSubSup>
                      <m:e>
                        <m:r>
                          <m:t>e</m:t>
                        </m:r>
                      </m:e>
                      <m:sub>
                        <m:r>
                          <m:t>i</m:t>
                        </m:r>
                      </m:sub>
                      <m:sup>
                        <m:r>
                          <m:t>2</m:t>
                        </m:r>
                      </m:sup>
                    </m:sSubSup>
                  </m:e>
                  <m:e>
                    <m:r>
                      <m:rPr>
                        <m:nor/>
                        <m:sty m:val="p"/>
                      </m:rPr>
                      <m:t>se </m:t>
                    </m:r>
                    <m:r>
                      <m:rPr>
                        <m:sty m:val="p"/>
                      </m:rPr>
                      <m:t>|</m:t>
                    </m:r>
                    <m:sSub>
                      <m:e>
                        <m:r>
                          <m:t>e</m:t>
                        </m:r>
                      </m:e>
                      <m:sub>
                        <m:r>
                          <m:t>i</m:t>
                        </m:r>
                      </m:sub>
                    </m:sSub>
                    <m:r>
                      <m:rPr>
                        <m:sty m:val="p"/>
                      </m:rPr>
                      <m:t>|</m:t>
                    </m:r>
                    <m:r>
                      <m:rPr>
                        <m:sty m:val="p"/>
                      </m:rPr>
                      <m:t>≤</m:t>
                    </m:r>
                    <m:r>
                      <m:t>k</m:t>
                    </m:r>
                  </m:e>
                </m:mr>
                <m:mr>
                  <m:e>
                    <m:r>
                      <m:t>k</m:t>
                    </m:r>
                    <m:d>
                      <m:dPr>
                        <m:begChr m:val="("/>
                        <m:sepChr m:val=""/>
                        <m:endChr m:val=")"/>
                        <m:grow/>
                      </m:dPr>
                      <m:e>
                        <m:r>
                          <m:rPr>
                            <m:sty m:val="p"/>
                          </m:rPr>
                          <m:t>|</m:t>
                        </m:r>
                        <m:sSub>
                          <m:e>
                            <m:r>
                              <m:t>e</m:t>
                            </m:r>
                          </m:e>
                          <m:sub>
                            <m:r>
                              <m:t>i</m:t>
                            </m:r>
                          </m:sub>
                        </m:sSub>
                        <m:r>
                          <m:rPr>
                            <m:sty m:val="p"/>
                          </m:rPr>
                          <m:t>|</m:t>
                        </m:r>
                        <m:r>
                          <m:rPr>
                            <m:sty m:val="p"/>
                          </m:rPr>
                          <m:t>−</m:t>
                        </m:r>
                        <m:f>
                          <m:fPr>
                            <m:type m:val="bar"/>
                          </m:fPr>
                          <m:num>
                            <m:r>
                              <m:t>k</m:t>
                            </m:r>
                          </m:num>
                          <m:den>
                            <m:r>
                              <m:t>2</m:t>
                            </m:r>
                          </m:den>
                        </m:f>
                      </m:e>
                    </m:d>
                  </m:e>
                  <m:e>
                    <m:r>
                      <m:rPr>
                        <m:nor/>
                        <m:sty m:val="p"/>
                      </m:rPr>
                      <m:t>se </m:t>
                    </m:r>
                    <m:r>
                      <m:rPr>
                        <m:sty m:val="p"/>
                      </m:rPr>
                      <m:t>|</m:t>
                    </m:r>
                    <m:sSub>
                      <m:e>
                        <m:r>
                          <m:t>e</m:t>
                        </m:r>
                      </m:e>
                      <m:sub>
                        <m:r>
                          <m:t>i</m:t>
                        </m:r>
                      </m:sub>
                    </m:sSub>
                    <m:r>
                      <m:rPr>
                        <m:sty m:val="p"/>
                      </m:rPr>
                      <m:t>|</m:t>
                    </m:r>
                    <m:r>
                      <m:rPr>
                        <m:sty m:val="p"/>
                      </m:rPr>
                      <m:t>&gt;</m:t>
                    </m:r>
                    <m:r>
                      <m:t>k</m:t>
                    </m:r>
                  </m:e>
                </m:mr>
              </m:m>
            </m:e>
          </m:d>
        </m:oMath>
      </m:oMathPara>
    </w:p>
    <w:p>
      <w:pPr>
        <w:pStyle w:val="FirstParagraph"/>
      </w:pPr>
      <w:r>
        <w:t xml:space="preserve">con pesi corrispondenti</w:t>
      </w:r>
      <w:r>
        <w:t xml:space="preserve"> </w:t>
      </w:r>
      <m:oMath>
        <m:sSub>
          <m:e>
            <m:r>
              <m:t>w</m:t>
            </m:r>
          </m:e>
          <m:sub>
            <m:r>
              <m:t>i</m:t>
            </m:r>
          </m:sub>
        </m:sSub>
        <m:r>
          <m:rPr>
            <m:sty m:val="p"/>
          </m:rPr>
          <m:t>=</m:t>
        </m:r>
        <m:r>
          <m:rPr>
            <m:sty m:val="p"/>
          </m:rPr>
          <m:t>min</m:t>
        </m:r>
        <m:r>
          <m:t>​</m:t>
        </m:r>
        <m:d>
          <m:dPr>
            <m:begChr m:val="("/>
            <m:sepChr m:val=""/>
            <m:endChr m:val=")"/>
            <m:grow/>
          </m:dPr>
          <m:e>
            <m:r>
              <m:t>1</m:t>
            </m:r>
            <m:r>
              <m:rPr>
                <m:sty m:val="p"/>
              </m:rPr>
              <m:t>,</m:t>
            </m:r>
            <m:r>
              <m:t> </m:t>
            </m:r>
            <m:r>
              <m:t>k</m:t>
            </m:r>
            <m:r>
              <m:rPr>
                <m:sty m:val="p"/>
              </m:rPr>
              <m:t>/</m:t>
            </m:r>
            <m:r>
              <m:rPr>
                <m:sty m:val="p"/>
              </m:rPr>
              <m:t>|</m:t>
            </m:r>
            <m:sSub>
              <m:e>
                <m:r>
                  <m:t>e</m:t>
                </m:r>
              </m:e>
              <m:sub>
                <m:r>
                  <m:t>i</m:t>
                </m:r>
              </m:sub>
            </m:sSub>
            <m:r>
              <m:rPr>
                <m:sty m:val="p"/>
              </m:rPr>
              <m:t>|</m:t>
            </m:r>
          </m:e>
        </m:d>
      </m:oMath>
      <w:r>
        <w:t xml:space="preserve"> </w:t>
      </w:r>
      <w:r>
        <w:t xml:space="preserve">e soglia</w:t>
      </w:r>
      <w:r>
        <w:t xml:space="preserve"> </w:t>
      </w:r>
      <m:oMath>
        <m:r>
          <m:t>k</m:t>
        </m:r>
        <m:r>
          <m:rPr>
            <m:sty m:val="p"/>
          </m:rPr>
          <m:t>=</m:t>
        </m:r>
        <m:r>
          <m:t>1.345</m:t>
        </m:r>
        <m:r>
          <m:t> </m:t>
        </m:r>
        <m:acc>
          <m:accPr>
            <m:chr m:val="̂"/>
          </m:accPr>
          <m:e>
            <m:r>
              <m:t>σ</m:t>
            </m:r>
          </m:e>
        </m:acc>
      </m:oMath>
      <w:r>
        <w:t xml:space="preserve">, dove</w:t>
      </w:r>
      <w:r>
        <w:t xml:space="preserve"> </w:t>
      </w:r>
      <m:oMath>
        <m:acc>
          <m:accPr>
            <m:chr m:val="̂"/>
          </m:accPr>
          <m:e>
            <m:r>
              <m:t>σ</m:t>
            </m:r>
          </m:e>
        </m:acc>
      </m:oMath>
      <w:r>
        <w:t xml:space="preserve"> </w:t>
      </w:r>
      <w:r>
        <w:t xml:space="preserve">è una stima robusta della deviazione standard. Il valore 1.345 garantisce circa il 95% di efficienza sotto normalità. Il metodo di</w:t>
      </w:r>
      <w:r>
        <w:t xml:space="preserve"> </w:t>
      </w:r>
      <w:r>
        <w:rPr>
          <w:b/>
          <w:bCs/>
        </w:rPr>
        <w:t xml:space="preserve">Tukey bisquare</w:t>
      </w:r>
      <w:r>
        <w:t xml:space="preserve"> </w:t>
      </w:r>
      <w:r>
        <w:t xml:space="preserve">è invece più aggressivo: per</w:t>
      </w:r>
      <w:r>
        <w:t xml:space="preserve"> </w:t>
      </w:r>
      <m:oMath>
        <m:r>
          <m:rPr>
            <m:sty m:val="p"/>
          </m:rPr>
          <m:t>|</m:t>
        </m:r>
        <m:sSub>
          <m:e>
            <m:r>
              <m:t>e</m:t>
            </m:r>
          </m:e>
          <m:sub>
            <m:r>
              <m:t>i</m:t>
            </m:r>
          </m:sub>
        </m:sSub>
        <m:r>
          <m:rPr>
            <m:sty m:val="p"/>
          </m:rPr>
          <m:t>|</m:t>
        </m:r>
        <m:r>
          <m:rPr>
            <m:sty m:val="p"/>
          </m:rPr>
          <m:t>&gt;</m:t>
        </m:r>
        <m:r>
          <m:t>k</m:t>
        </m:r>
      </m:oMath>
      <w:r>
        <w:t xml:space="preserve"> </w:t>
      </w:r>
      <w:r>
        <w:t xml:space="preserve">il peso diventa esattamente zero, escludendo gli outlier estremi dal processo di stima, mentre per</w:t>
      </w:r>
      <w:r>
        <w:t xml:space="preserve"> </w:t>
      </w:r>
      <m:oMath>
        <m:r>
          <m:rPr>
            <m:sty m:val="p"/>
          </m:rPr>
          <m:t>|</m:t>
        </m:r>
        <m:sSub>
          <m:e>
            <m:r>
              <m:t>e</m:t>
            </m:r>
          </m:e>
          <m:sub>
            <m:r>
              <m:t>i</m:t>
            </m:r>
          </m:sub>
        </m:sSub>
        <m:r>
          <m:rPr>
            <m:sty m:val="p"/>
          </m:rPr>
          <m:t>|</m:t>
        </m:r>
        <m:r>
          <m:rPr>
            <m:sty m:val="p"/>
          </m:rPr>
          <m:t>≤</m:t>
        </m:r>
        <m:r>
          <m:t>k</m:t>
        </m:r>
      </m:oMath>
      <w:r>
        <w:t xml:space="preserve"> </w:t>
      </w:r>
      <w:r>
        <w:t xml:space="preserve">i pesi seguono una funzione liscia decrescente con soglia</w:t>
      </w:r>
      <w:r>
        <w:t xml:space="preserve"> </w:t>
      </w:r>
      <m:oMath>
        <m:r>
          <m:t>k</m:t>
        </m:r>
        <m:r>
          <m:rPr>
            <m:sty m:val="p"/>
          </m:rPr>
          <m:t>=</m:t>
        </m:r>
        <m:r>
          <m:t>4.685</m:t>
        </m:r>
        <m:r>
          <m:t> </m:t>
        </m:r>
        <m:acc>
          <m:accPr>
            <m:chr m:val="̂"/>
          </m:accPr>
          <m:e>
            <m:r>
              <m:t>σ</m:t>
            </m:r>
          </m:e>
        </m:acc>
      </m:oMath>
      <w:r>
        <w:t xml:space="preserve">. In entrambi i casi la stima robusta della deviazione standard è ottenuta tramite il MAD (Median Absolute Deviation):</w:t>
      </w:r>
      <w:r>
        <w:t xml:space="preserve"> </w:t>
      </w:r>
      <m:oMath>
        <m:acc>
          <m:accPr>
            <m:chr m:val="̂"/>
          </m:accPr>
          <m:e>
            <m:r>
              <m:t>σ</m:t>
            </m:r>
          </m:e>
        </m:acc>
        <m:r>
          <m:rPr>
            <m:sty m:val="p"/>
          </m:rPr>
          <m:t>=</m:t>
        </m:r>
        <m:r>
          <m:rPr>
            <m:sty m:val="p"/>
          </m:rPr>
          <m:t>M</m:t>
        </m:r>
        <m:r>
          <m:rPr>
            <m:sty m:val="p"/>
          </m:rPr>
          <m:t>A</m:t>
        </m:r>
        <m:r>
          <m:rPr>
            <m:sty m:val="p"/>
          </m:rPr>
          <m:t>D</m:t>
        </m:r>
        <m:r>
          <m:rPr>
            <m:sty m:val="p"/>
          </m:rPr>
          <m:t>/</m:t>
        </m:r>
        <m:r>
          <m:t>0.6745</m:t>
        </m:r>
      </m:oMath>
      <w:r>
        <w:t xml:space="preserve">, che, essendo basato sulla mediana, rimane stabile in presenza di outlier.</w:t>
      </w:r>
    </w:p>
    <w:p>
      <w:pPr>
        <w:pStyle w:val="TableCaption"/>
      </w:pPr>
      <w:r>
        <w:t xml:space="preserve">Confronto coefficienti: OLS vs Huber vs Bisquare</w:t>
      </w:r>
    </w:p>
    <w:tbl>
      <w:tblPr>
        <w:tblStyle w:val="Table"/>
        <w:tblW w:type="auto" w:w="0"/>
        <w:tblLook w:firstRow="1" w:lastRow="0" w:firstColumn="0" w:lastColumn="0" w:noHBand="0" w:noVBand="0" w:val="0020"/>
        <w:tblCaption w:val="Confronto coefficienti: OLS vs Huber vs Bisquare"/>
      </w:tblPr>
      <w:tblGrid>
        <w:gridCol w:w="1980"/>
        <w:gridCol w:w="1980"/>
        <w:gridCol w:w="1980"/>
        <w:gridCol w:w="1980"/>
      </w:tblGrid>
      <w:tr>
        <w:trPr>
          <w:tblHeader w:val="on"/>
        </w:trPr>
        <w:tc>
          <w:tcPr/>
          <w:p>
            <w:pPr>
              <w:pStyle w:val="Compact"/>
            </w:pPr>
          </w:p>
        </w:tc>
        <w:tc>
          <w:tcPr/>
          <w:p>
            <w:pPr>
              <w:pStyle w:val="Compact"/>
              <w:jc w:val="right"/>
            </w:pPr>
            <w:r>
              <w:t xml:space="preserve">OLS</w:t>
            </w:r>
          </w:p>
        </w:tc>
        <w:tc>
          <w:tcPr/>
          <w:p>
            <w:pPr>
              <w:pStyle w:val="Compact"/>
              <w:jc w:val="right"/>
            </w:pPr>
            <w:r>
              <w:t xml:space="preserve">Huber</w:t>
            </w:r>
          </w:p>
        </w:tc>
        <w:tc>
          <w:tcPr/>
          <w:p>
            <w:pPr>
              <w:pStyle w:val="Compact"/>
              <w:jc w:val="right"/>
            </w:pPr>
            <w:r>
              <w:t xml:space="preserve">Bisquare</w:t>
            </w:r>
          </w:p>
        </w:tc>
      </w:tr>
      <w:tr>
        <w:tc>
          <w:tcPr/>
          <w:p>
            <w:pPr>
              <w:pStyle w:val="Compact"/>
              <w:jc w:val="left"/>
            </w:pPr>
            <w:r>
              <w:t xml:space="preserve">(Intercept)</w:t>
            </w:r>
          </w:p>
        </w:tc>
        <w:tc>
          <w:tcPr/>
          <w:p>
            <w:pPr>
              <w:pStyle w:val="Compact"/>
              <w:jc w:val="right"/>
            </w:pPr>
            <w:r>
              <w:t xml:space="preserve">0.2437</w:t>
            </w:r>
          </w:p>
        </w:tc>
        <w:tc>
          <w:tcPr/>
          <w:p>
            <w:pPr>
              <w:pStyle w:val="Compact"/>
              <w:jc w:val="right"/>
            </w:pPr>
            <w:r>
              <w:t xml:space="preserve">0.1350</w:t>
            </w:r>
          </w:p>
        </w:tc>
        <w:tc>
          <w:tcPr/>
          <w:p>
            <w:pPr>
              <w:pStyle w:val="Compact"/>
              <w:jc w:val="right"/>
            </w:pPr>
            <w:r>
              <w:t xml:space="preserve">0.0618</w:t>
            </w:r>
          </w:p>
        </w:tc>
      </w:tr>
      <w:tr>
        <w:tc>
          <w:tcPr/>
          <w:p>
            <w:pPr>
              <w:pStyle w:val="Compact"/>
              <w:jc w:val="left"/>
            </w:pPr>
            <w:r>
              <w:t xml:space="preserve">pre_match_ppg_positive</w:t>
            </w:r>
          </w:p>
        </w:tc>
        <w:tc>
          <w:tcPr/>
          <w:p>
            <w:pPr>
              <w:pStyle w:val="Compact"/>
              <w:jc w:val="right"/>
            </w:pPr>
            <w:r>
              <w:t xml:space="preserve">-0.5463</w:t>
            </w:r>
          </w:p>
        </w:tc>
        <w:tc>
          <w:tcPr/>
          <w:p>
            <w:pPr>
              <w:pStyle w:val="Compact"/>
              <w:jc w:val="right"/>
            </w:pPr>
            <w:r>
              <w:t xml:space="preserve">-0.4337</w:t>
            </w:r>
          </w:p>
        </w:tc>
        <w:tc>
          <w:tcPr/>
          <w:p>
            <w:pPr>
              <w:pStyle w:val="Compact"/>
              <w:jc w:val="right"/>
            </w:pPr>
            <w:r>
              <w:t xml:space="preserve">-0.3889</w:t>
            </w:r>
          </w:p>
        </w:tc>
      </w:tr>
      <w:tr>
        <w:tc>
          <w:tcPr/>
          <w:p>
            <w:pPr>
              <w:pStyle w:val="Compact"/>
              <w:jc w:val="left"/>
            </w:pPr>
            <w:r>
              <w:t xml:space="preserve">implied_probability_difference</w:t>
            </w:r>
          </w:p>
        </w:tc>
        <w:tc>
          <w:tcPr/>
          <w:p>
            <w:pPr>
              <w:pStyle w:val="Compact"/>
              <w:jc w:val="right"/>
            </w:pPr>
            <w:r>
              <w:t xml:space="preserve">2.0231</w:t>
            </w:r>
          </w:p>
        </w:tc>
        <w:tc>
          <w:tcPr/>
          <w:p>
            <w:pPr>
              <w:pStyle w:val="Compact"/>
              <w:jc w:val="right"/>
            </w:pPr>
            <w:r>
              <w:t xml:space="preserve">1.8223</w:t>
            </w:r>
          </w:p>
        </w:tc>
        <w:tc>
          <w:tcPr/>
          <w:p>
            <w:pPr>
              <w:pStyle w:val="Compact"/>
              <w:jc w:val="right"/>
            </w:pPr>
            <w:r>
              <w:t xml:space="preserve">1.7948</w:t>
            </w:r>
          </w:p>
        </w:tc>
      </w:tr>
      <w:tr>
        <w:tc>
          <w:tcPr/>
          <w:p>
            <w:pPr>
              <w:pStyle w:val="Compact"/>
              <w:jc w:val="left"/>
            </w:pPr>
            <w:r>
              <w:t xml:space="preserve">knockout</w:t>
            </w:r>
          </w:p>
        </w:tc>
        <w:tc>
          <w:tcPr/>
          <w:p>
            <w:pPr>
              <w:pStyle w:val="Compact"/>
              <w:jc w:val="right"/>
            </w:pPr>
            <w:r>
              <w:t xml:space="preserve">1.2075</w:t>
            </w:r>
          </w:p>
        </w:tc>
        <w:tc>
          <w:tcPr/>
          <w:p>
            <w:pPr>
              <w:pStyle w:val="Compact"/>
              <w:jc w:val="right"/>
            </w:pPr>
            <w:r>
              <w:t xml:space="preserve">1.2011</w:t>
            </w:r>
          </w:p>
        </w:tc>
        <w:tc>
          <w:tcPr/>
          <w:p>
            <w:pPr>
              <w:pStyle w:val="Compact"/>
              <w:jc w:val="right"/>
            </w:pPr>
            <w:r>
              <w:t xml:space="preserve">1.2644</w:t>
            </w:r>
          </w:p>
        </w:tc>
      </w:tr>
    </w:tbl>
    <w:p>
      <w:pPr>
        <w:pStyle w:val="BodyText"/>
      </w:pPr>
      <w:r>
        <w:t xml:space="preserve">La stabilità dei coefficienti tra OLS, Huber e Bisquare conferma che il modello non è distorto dalla presenza di partite anomale. Le piccole differenze tra i tre stimatori — che si aspetta vadano a favore dell’OLS in termini di efficienza quando l’ipotesi di normalità è soddisfatta — sono irrilevanti dal punto di vista interpretativo.</w:t>
      </w:r>
    </w:p>
    <w:p>
      <w:pPr>
        <w:pStyle w:val="TableCaption"/>
      </w:pPr>
      <w:r>
        <w:t xml:space="preserve">Pesi IRLS (Huber): partite con peso &lt; 0.85</w:t>
      </w:r>
    </w:p>
    <w:tbl>
      <w:tblPr>
        <w:tblStyle w:val="Table"/>
        <w:tblW w:type="auto" w:w="0"/>
        <w:tblLook w:firstRow="1" w:lastRow="0" w:firstColumn="0" w:lastColumn="0" w:noHBand="0" w:noVBand="0" w:val="0020"/>
        <w:tblCaption w:val="Pesi IRLS (Huber): partite con peso &lt; 0.85"/>
      </w:tblPr>
      <w:tblGrid>
        <w:gridCol w:w="1980"/>
        <w:gridCol w:w="1980"/>
        <w:gridCol w:w="1980"/>
        <w:gridCol w:w="1980"/>
      </w:tblGrid>
      <w:tr>
        <w:trPr>
          <w:tblHeader w:val="on"/>
        </w:trPr>
        <w:tc>
          <w:tcPr/>
          <w:p>
            <w:pPr>
              <w:pStyle w:val="Compact"/>
              <w:jc w:val="right"/>
            </w:pPr>
            <w:r>
              <w:t xml:space="preserve">osservazione</w:t>
            </w:r>
          </w:p>
        </w:tc>
        <w:tc>
          <w:tcPr/>
          <w:p>
            <w:pPr>
              <w:pStyle w:val="Compact"/>
              <w:jc w:val="left"/>
            </w:pPr>
            <w:r>
              <w:t xml:space="preserve">home</w:t>
            </w:r>
          </w:p>
        </w:tc>
        <w:tc>
          <w:tcPr/>
          <w:p>
            <w:pPr>
              <w:pStyle w:val="Compact"/>
              <w:jc w:val="left"/>
            </w:pPr>
            <w:r>
              <w:t xml:space="preserve">away</w:t>
            </w:r>
          </w:p>
        </w:tc>
        <w:tc>
          <w:tcPr/>
          <w:p>
            <w:pPr>
              <w:pStyle w:val="Compact"/>
              <w:jc w:val="right"/>
            </w:pPr>
            <w:r>
              <w:t xml:space="preserve">peso</w:t>
            </w:r>
          </w:p>
        </w:tc>
      </w:tr>
      <w:tr>
        <w:tc>
          <w:tcPr/>
          <w:p>
            <w:pPr>
              <w:pStyle w:val="Compact"/>
              <w:jc w:val="right"/>
            </w:pPr>
            <w:r>
              <w:t xml:space="preserve">11</w:t>
            </w:r>
          </w:p>
        </w:tc>
        <w:tc>
          <w:tcPr/>
          <w:p>
            <w:pPr>
              <w:pStyle w:val="Compact"/>
              <w:jc w:val="left"/>
            </w:pPr>
            <w:r>
              <w:t xml:space="preserve">Spain</w:t>
            </w:r>
          </w:p>
        </w:tc>
        <w:tc>
          <w:tcPr/>
          <w:p>
            <w:pPr>
              <w:pStyle w:val="Compact"/>
              <w:jc w:val="left"/>
            </w:pPr>
            <w:r>
              <w:t xml:space="preserve">Costa Rica</w:t>
            </w:r>
          </w:p>
        </w:tc>
        <w:tc>
          <w:tcPr/>
          <w:p>
            <w:pPr>
              <w:pStyle w:val="Compact"/>
              <w:jc w:val="right"/>
            </w:pPr>
            <w:r>
              <w:t xml:space="preserve">0.355</w:t>
            </w:r>
          </w:p>
        </w:tc>
      </w:tr>
      <w:tr>
        <w:tc>
          <w:tcPr/>
          <w:p>
            <w:pPr>
              <w:pStyle w:val="Compact"/>
              <w:jc w:val="right"/>
            </w:pPr>
            <w:r>
              <w:t xml:space="preserve">56</w:t>
            </w:r>
          </w:p>
        </w:tc>
        <w:tc>
          <w:tcPr/>
          <w:p>
            <w:pPr>
              <w:pStyle w:val="Compact"/>
              <w:jc w:val="left"/>
            </w:pPr>
            <w:r>
              <w:t xml:space="preserve">Portugal</w:t>
            </w:r>
          </w:p>
        </w:tc>
        <w:tc>
          <w:tcPr/>
          <w:p>
            <w:pPr>
              <w:pStyle w:val="Compact"/>
              <w:jc w:val="left"/>
            </w:pPr>
            <w:r>
              <w:t xml:space="preserve">Switzerland</w:t>
            </w:r>
          </w:p>
        </w:tc>
        <w:tc>
          <w:tcPr/>
          <w:p>
            <w:pPr>
              <w:pStyle w:val="Compact"/>
              <w:jc w:val="right"/>
            </w:pPr>
            <w:r>
              <w:t xml:space="preserve">0.638</w:t>
            </w:r>
          </w:p>
        </w:tc>
      </w:tr>
      <w:tr>
        <w:tc>
          <w:tcPr/>
          <w:p>
            <w:pPr>
              <w:pStyle w:val="Compact"/>
              <w:jc w:val="right"/>
            </w:pPr>
            <w:r>
              <w:t xml:space="preserve">27</w:t>
            </w:r>
          </w:p>
        </w:tc>
        <w:tc>
          <w:tcPr/>
          <w:p>
            <w:pPr>
              <w:pStyle w:val="Compact"/>
              <w:jc w:val="left"/>
            </w:pPr>
            <w:r>
              <w:t xml:space="preserve">Croatia</w:t>
            </w:r>
          </w:p>
        </w:tc>
        <w:tc>
          <w:tcPr/>
          <w:p>
            <w:pPr>
              <w:pStyle w:val="Compact"/>
              <w:jc w:val="left"/>
            </w:pPr>
            <w:r>
              <w:t xml:space="preserve">Canada</w:t>
            </w:r>
          </w:p>
        </w:tc>
        <w:tc>
          <w:tcPr/>
          <w:p>
            <w:pPr>
              <w:pStyle w:val="Compact"/>
              <w:jc w:val="right"/>
            </w:pPr>
            <w:r>
              <w:t xml:space="preserve">0.726</w:t>
            </w:r>
          </w:p>
        </w:tc>
      </w:tr>
      <w:tr>
        <w:tc>
          <w:tcPr/>
          <w:p>
            <w:pPr>
              <w:pStyle w:val="Compact"/>
              <w:jc w:val="right"/>
            </w:pPr>
            <w:r>
              <w:t xml:space="preserve">2</w:t>
            </w:r>
          </w:p>
        </w:tc>
        <w:tc>
          <w:tcPr/>
          <w:p>
            <w:pPr>
              <w:pStyle w:val="Compact"/>
              <w:jc w:val="left"/>
            </w:pPr>
            <w:r>
              <w:t xml:space="preserve">England</w:t>
            </w:r>
          </w:p>
        </w:tc>
        <w:tc>
          <w:tcPr/>
          <w:p>
            <w:pPr>
              <w:pStyle w:val="Compact"/>
              <w:jc w:val="left"/>
            </w:pPr>
            <w:r>
              <w:t xml:space="preserve">Iran</w:t>
            </w:r>
          </w:p>
        </w:tc>
        <w:tc>
          <w:tcPr/>
          <w:p>
            <w:pPr>
              <w:pStyle w:val="Compact"/>
              <w:jc w:val="right"/>
            </w:pPr>
            <w:r>
              <w:t xml:space="preserve">0.743</w:t>
            </w:r>
          </w:p>
        </w:tc>
      </w:tr>
      <w:tr>
        <w:tc>
          <w:tcPr/>
          <w:p>
            <w:pPr>
              <w:pStyle w:val="Compact"/>
              <w:jc w:val="right"/>
            </w:pPr>
            <w:r>
              <w:t xml:space="preserve">26</w:t>
            </w:r>
          </w:p>
        </w:tc>
        <w:tc>
          <w:tcPr/>
          <w:p>
            <w:pPr>
              <w:pStyle w:val="Compact"/>
              <w:jc w:val="left"/>
            </w:pPr>
            <w:r>
              <w:t xml:space="preserve">Belgium</w:t>
            </w:r>
          </w:p>
        </w:tc>
        <w:tc>
          <w:tcPr/>
          <w:p>
            <w:pPr>
              <w:pStyle w:val="Compact"/>
              <w:jc w:val="left"/>
            </w:pPr>
            <w:r>
              <w:t xml:space="preserve">Morocco</w:t>
            </w:r>
          </w:p>
        </w:tc>
        <w:tc>
          <w:tcPr/>
          <w:p>
            <w:pPr>
              <w:pStyle w:val="Compact"/>
              <w:jc w:val="right"/>
            </w:pPr>
            <w:r>
              <w:t xml:space="preserve">0.791</w:t>
            </w:r>
          </w:p>
        </w:tc>
      </w:tr>
      <w:tr>
        <w:tc>
          <w:tcPr/>
          <w:p>
            <w:pPr>
              <w:pStyle w:val="Compact"/>
              <w:jc w:val="right"/>
            </w:pPr>
            <w:r>
              <w:t xml:space="preserve">5</w:t>
            </w:r>
          </w:p>
        </w:tc>
        <w:tc>
          <w:tcPr/>
          <w:p>
            <w:pPr>
              <w:pStyle w:val="Compact"/>
              <w:jc w:val="left"/>
            </w:pPr>
            <w:r>
              <w:t xml:space="preserve">Argentina</w:t>
            </w:r>
          </w:p>
        </w:tc>
        <w:tc>
          <w:tcPr/>
          <w:p>
            <w:pPr>
              <w:pStyle w:val="Compact"/>
              <w:jc w:val="left"/>
            </w:pPr>
            <w:r>
              <w:t xml:space="preserve">Saudi Arabia</w:t>
            </w:r>
          </w:p>
        </w:tc>
        <w:tc>
          <w:tcPr/>
          <w:p>
            <w:pPr>
              <w:pStyle w:val="Compact"/>
              <w:jc w:val="right"/>
            </w:pPr>
            <w:r>
              <w:t xml:space="preserve">0.817</w:t>
            </w:r>
          </w:p>
        </w:tc>
      </w:tr>
    </w:tbl>
    <w:p>
      <w:pPr>
        <w:pStyle w:val="BodyText"/>
      </w:pPr>
      <w:r>
        <w:t xml:space="preserve">Le partite con peso IRLS inferiore a 0.85 sono quelle che la regressione robusta</w:t>
      </w:r>
      <w:r>
        <w:t xml:space="preserve"> </w:t>
      </w:r>
      <w:r>
        <w:t xml:space="preserve">“smorza”</w:t>
      </w:r>
      <w:r>
        <w:t xml:space="preserve">: si tratta tipicamente degli incontri con risultati più estremi, confermando l’identificazione delle osservazioni già segnalate dalla distanza di Cook.</w:t>
      </w:r>
    </w:p>
    <w:p>
      <w:pPr>
        <w:pStyle w:val="TableCaption"/>
      </w:pPr>
      <w:r>
        <w:t xml:space="preserve">Pesi IRLS (Tukey): partite con peso &lt; 0.85</w:t>
      </w:r>
    </w:p>
    <w:tbl>
      <w:tblPr>
        <w:tblStyle w:val="Table"/>
        <w:tblW w:type="auto" w:w="0"/>
        <w:tblLook w:firstRow="1" w:lastRow="0" w:firstColumn="0" w:lastColumn="0" w:noHBand="0" w:noVBand="0" w:val="0020"/>
        <w:tblCaption w:val="Pesi IRLS (Tukey): partite con peso &lt; 0.85"/>
      </w:tblPr>
      <w:tblGrid>
        <w:gridCol w:w="1980"/>
        <w:gridCol w:w="1980"/>
        <w:gridCol w:w="1980"/>
        <w:gridCol w:w="1980"/>
      </w:tblGrid>
      <w:tr>
        <w:trPr>
          <w:tblHeader w:val="on"/>
        </w:trPr>
        <w:tc>
          <w:tcPr/>
          <w:p>
            <w:pPr>
              <w:pStyle w:val="Compact"/>
              <w:jc w:val="right"/>
            </w:pPr>
            <w:r>
              <w:t xml:space="preserve">osservazione</w:t>
            </w:r>
          </w:p>
        </w:tc>
        <w:tc>
          <w:tcPr/>
          <w:p>
            <w:pPr>
              <w:pStyle w:val="Compact"/>
              <w:jc w:val="left"/>
            </w:pPr>
            <w:r>
              <w:t xml:space="preserve">home</w:t>
            </w:r>
          </w:p>
        </w:tc>
        <w:tc>
          <w:tcPr/>
          <w:p>
            <w:pPr>
              <w:pStyle w:val="Compact"/>
              <w:jc w:val="left"/>
            </w:pPr>
            <w:r>
              <w:t xml:space="preserve">away</w:t>
            </w:r>
          </w:p>
        </w:tc>
        <w:tc>
          <w:tcPr/>
          <w:p>
            <w:pPr>
              <w:pStyle w:val="Compact"/>
              <w:jc w:val="right"/>
            </w:pPr>
            <w:r>
              <w:t xml:space="preserve">peso</w:t>
            </w:r>
          </w:p>
        </w:tc>
      </w:tr>
      <w:tr>
        <w:tc>
          <w:tcPr/>
          <w:p>
            <w:pPr>
              <w:pStyle w:val="Compact"/>
              <w:jc w:val="right"/>
            </w:pPr>
            <w:r>
              <w:t xml:space="preserve">11</w:t>
            </w:r>
          </w:p>
        </w:tc>
        <w:tc>
          <w:tcPr/>
          <w:p>
            <w:pPr>
              <w:pStyle w:val="Compact"/>
              <w:jc w:val="left"/>
            </w:pPr>
            <w:r>
              <w:t xml:space="preserve">Spain</w:t>
            </w:r>
          </w:p>
        </w:tc>
        <w:tc>
          <w:tcPr/>
          <w:p>
            <w:pPr>
              <w:pStyle w:val="Compact"/>
              <w:jc w:val="left"/>
            </w:pPr>
            <w:r>
              <w:t xml:space="preserve">Costa Rica</w:t>
            </w:r>
          </w:p>
        </w:tc>
        <w:tc>
          <w:tcPr/>
          <w:p>
            <w:pPr>
              <w:pStyle w:val="Compact"/>
              <w:jc w:val="right"/>
            </w:pPr>
            <w:r>
              <w:t xml:space="preserve">0.081</w:t>
            </w:r>
          </w:p>
        </w:tc>
      </w:tr>
      <w:tr>
        <w:tc>
          <w:tcPr/>
          <w:p>
            <w:pPr>
              <w:pStyle w:val="Compact"/>
              <w:jc w:val="right"/>
            </w:pPr>
            <w:r>
              <w:t xml:space="preserve">56</w:t>
            </w:r>
          </w:p>
        </w:tc>
        <w:tc>
          <w:tcPr/>
          <w:p>
            <w:pPr>
              <w:pStyle w:val="Compact"/>
              <w:jc w:val="left"/>
            </w:pPr>
            <w:r>
              <w:t xml:space="preserve">Portugal</w:t>
            </w:r>
          </w:p>
        </w:tc>
        <w:tc>
          <w:tcPr/>
          <w:p>
            <w:pPr>
              <w:pStyle w:val="Compact"/>
              <w:jc w:val="left"/>
            </w:pPr>
            <w:r>
              <w:t xml:space="preserve">Switzerland</w:t>
            </w:r>
          </w:p>
        </w:tc>
        <w:tc>
          <w:tcPr/>
          <w:p>
            <w:pPr>
              <w:pStyle w:val="Compact"/>
              <w:jc w:val="right"/>
            </w:pPr>
            <w:r>
              <w:t xml:space="preserve">0.613</w:t>
            </w:r>
          </w:p>
        </w:tc>
      </w:tr>
      <w:tr>
        <w:tc>
          <w:tcPr/>
          <w:p>
            <w:pPr>
              <w:pStyle w:val="Compact"/>
              <w:jc w:val="right"/>
            </w:pPr>
            <w:r>
              <w:t xml:space="preserve">27</w:t>
            </w:r>
          </w:p>
        </w:tc>
        <w:tc>
          <w:tcPr/>
          <w:p>
            <w:pPr>
              <w:pStyle w:val="Compact"/>
              <w:jc w:val="left"/>
            </w:pPr>
            <w:r>
              <w:t xml:space="preserve">Croatia</w:t>
            </w:r>
          </w:p>
        </w:tc>
        <w:tc>
          <w:tcPr/>
          <w:p>
            <w:pPr>
              <w:pStyle w:val="Compact"/>
              <w:jc w:val="left"/>
            </w:pPr>
            <w:r>
              <w:t xml:space="preserve">Canada</w:t>
            </w:r>
          </w:p>
        </w:tc>
        <w:tc>
          <w:tcPr/>
          <w:p>
            <w:pPr>
              <w:pStyle w:val="Compact"/>
              <w:jc w:val="right"/>
            </w:pPr>
            <w:r>
              <w:t xml:space="preserve">0.688</w:t>
            </w:r>
          </w:p>
        </w:tc>
      </w:tr>
      <w:tr>
        <w:tc>
          <w:tcPr/>
          <w:p>
            <w:pPr>
              <w:pStyle w:val="Compact"/>
              <w:jc w:val="right"/>
            </w:pPr>
            <w:r>
              <w:t xml:space="preserve">2</w:t>
            </w:r>
          </w:p>
        </w:tc>
        <w:tc>
          <w:tcPr/>
          <w:p>
            <w:pPr>
              <w:pStyle w:val="Compact"/>
              <w:jc w:val="left"/>
            </w:pPr>
            <w:r>
              <w:t xml:space="preserve">England</w:t>
            </w:r>
          </w:p>
        </w:tc>
        <w:tc>
          <w:tcPr/>
          <w:p>
            <w:pPr>
              <w:pStyle w:val="Compact"/>
              <w:jc w:val="left"/>
            </w:pPr>
            <w:r>
              <w:t xml:space="preserve">Iran</w:t>
            </w:r>
          </w:p>
        </w:tc>
        <w:tc>
          <w:tcPr/>
          <w:p>
            <w:pPr>
              <w:pStyle w:val="Compact"/>
              <w:jc w:val="right"/>
            </w:pPr>
            <w:r>
              <w:t xml:space="preserve">0.691</w:t>
            </w:r>
          </w:p>
        </w:tc>
      </w:tr>
      <w:tr>
        <w:tc>
          <w:tcPr/>
          <w:p>
            <w:pPr>
              <w:pStyle w:val="Compact"/>
              <w:jc w:val="right"/>
            </w:pPr>
            <w:r>
              <w:t xml:space="preserve">26</w:t>
            </w:r>
          </w:p>
        </w:tc>
        <w:tc>
          <w:tcPr/>
          <w:p>
            <w:pPr>
              <w:pStyle w:val="Compact"/>
              <w:jc w:val="left"/>
            </w:pPr>
            <w:r>
              <w:t xml:space="preserve">Belgium</w:t>
            </w:r>
          </w:p>
        </w:tc>
        <w:tc>
          <w:tcPr/>
          <w:p>
            <w:pPr>
              <w:pStyle w:val="Compact"/>
              <w:jc w:val="left"/>
            </w:pPr>
            <w:r>
              <w:t xml:space="preserve">Morocco</w:t>
            </w:r>
          </w:p>
        </w:tc>
        <w:tc>
          <w:tcPr/>
          <w:p>
            <w:pPr>
              <w:pStyle w:val="Compact"/>
              <w:jc w:val="right"/>
            </w:pPr>
            <w:r>
              <w:t xml:space="preserve">0.748</w:t>
            </w:r>
          </w:p>
        </w:tc>
      </w:tr>
      <w:tr>
        <w:tc>
          <w:tcPr/>
          <w:p>
            <w:pPr>
              <w:pStyle w:val="Compact"/>
              <w:jc w:val="right"/>
            </w:pPr>
            <w:r>
              <w:t xml:space="preserve">5</w:t>
            </w:r>
          </w:p>
        </w:tc>
        <w:tc>
          <w:tcPr/>
          <w:p>
            <w:pPr>
              <w:pStyle w:val="Compact"/>
              <w:jc w:val="left"/>
            </w:pPr>
            <w:r>
              <w:t xml:space="preserve">Argentina</w:t>
            </w:r>
          </w:p>
        </w:tc>
        <w:tc>
          <w:tcPr/>
          <w:p>
            <w:pPr>
              <w:pStyle w:val="Compact"/>
              <w:jc w:val="left"/>
            </w:pPr>
            <w:r>
              <w:t xml:space="preserve">Saudi Arabia</w:t>
            </w:r>
          </w:p>
        </w:tc>
        <w:tc>
          <w:tcPr/>
          <w:p>
            <w:pPr>
              <w:pStyle w:val="Compact"/>
              <w:jc w:val="right"/>
            </w:pPr>
            <w:r>
              <w:t xml:space="preserve">0.773</w:t>
            </w:r>
          </w:p>
        </w:tc>
      </w:tr>
      <w:tr>
        <w:tc>
          <w:tcPr/>
          <w:p>
            <w:pPr>
              <w:pStyle w:val="Compact"/>
              <w:jc w:val="right"/>
            </w:pPr>
            <w:r>
              <w:t xml:space="preserve">35</w:t>
            </w:r>
          </w:p>
        </w:tc>
        <w:tc>
          <w:tcPr/>
          <w:p>
            <w:pPr>
              <w:pStyle w:val="Compact"/>
              <w:jc w:val="left"/>
            </w:pPr>
            <w:r>
              <w:t xml:space="preserve">Wales</w:t>
            </w:r>
          </w:p>
        </w:tc>
        <w:tc>
          <w:tcPr/>
          <w:p>
            <w:pPr>
              <w:pStyle w:val="Compact"/>
              <w:jc w:val="left"/>
            </w:pPr>
            <w:r>
              <w:t xml:space="preserve">England</w:t>
            </w:r>
          </w:p>
        </w:tc>
        <w:tc>
          <w:tcPr/>
          <w:p>
            <w:pPr>
              <w:pStyle w:val="Compact"/>
              <w:jc w:val="right"/>
            </w:pPr>
            <w:r>
              <w:t xml:space="preserve">0.786</w:t>
            </w:r>
          </w:p>
        </w:tc>
      </w:tr>
      <w:tr>
        <w:tc>
          <w:tcPr/>
          <w:p>
            <w:pPr>
              <w:pStyle w:val="Compact"/>
              <w:jc w:val="right"/>
            </w:pPr>
            <w:r>
              <w:t xml:space="preserve">38</w:t>
            </w:r>
          </w:p>
        </w:tc>
        <w:tc>
          <w:tcPr/>
          <w:p>
            <w:pPr>
              <w:pStyle w:val="Compact"/>
              <w:jc w:val="left"/>
            </w:pPr>
            <w:r>
              <w:t xml:space="preserve">Tunisia</w:t>
            </w:r>
          </w:p>
        </w:tc>
        <w:tc>
          <w:tcPr/>
          <w:p>
            <w:pPr>
              <w:pStyle w:val="Compact"/>
              <w:jc w:val="left"/>
            </w:pPr>
            <w:r>
              <w:t xml:space="preserve">France</w:t>
            </w:r>
          </w:p>
        </w:tc>
        <w:tc>
          <w:tcPr/>
          <w:p>
            <w:pPr>
              <w:pStyle w:val="Compact"/>
              <w:jc w:val="right"/>
            </w:pPr>
            <w:r>
              <w:t xml:space="preserve">0.802</w:t>
            </w:r>
          </w:p>
        </w:tc>
      </w:tr>
      <w:tr>
        <w:tc>
          <w:tcPr/>
          <w:p>
            <w:pPr>
              <w:pStyle w:val="Compact"/>
              <w:jc w:val="right"/>
            </w:pPr>
            <w:r>
              <w:t xml:space="preserve">10</w:t>
            </w:r>
          </w:p>
        </w:tc>
        <w:tc>
          <w:tcPr/>
          <w:p>
            <w:pPr>
              <w:pStyle w:val="Compact"/>
              <w:jc w:val="left"/>
            </w:pPr>
            <w:r>
              <w:t xml:space="preserve">Germany</w:t>
            </w:r>
          </w:p>
        </w:tc>
        <w:tc>
          <w:tcPr/>
          <w:p>
            <w:pPr>
              <w:pStyle w:val="Compact"/>
              <w:jc w:val="left"/>
            </w:pPr>
            <w:r>
              <w:t xml:space="preserve">Japan</w:t>
            </w:r>
          </w:p>
        </w:tc>
        <w:tc>
          <w:tcPr/>
          <w:p>
            <w:pPr>
              <w:pStyle w:val="Compact"/>
              <w:jc w:val="right"/>
            </w:pPr>
            <w:r>
              <w:t xml:space="preserve">0.807</w:t>
            </w:r>
          </w:p>
        </w:tc>
      </w:tr>
      <w:tr>
        <w:tc>
          <w:tcPr/>
          <w:p>
            <w:pPr>
              <w:pStyle w:val="Compact"/>
              <w:jc w:val="right"/>
            </w:pPr>
            <w:r>
              <w:t xml:space="preserve">37</w:t>
            </w:r>
          </w:p>
        </w:tc>
        <w:tc>
          <w:tcPr/>
          <w:p>
            <w:pPr>
              <w:pStyle w:val="Compact"/>
              <w:jc w:val="left"/>
            </w:pPr>
            <w:r>
              <w:t xml:space="preserve">Australia</w:t>
            </w:r>
          </w:p>
        </w:tc>
        <w:tc>
          <w:tcPr/>
          <w:p>
            <w:pPr>
              <w:pStyle w:val="Compact"/>
              <w:jc w:val="left"/>
            </w:pPr>
            <w:r>
              <w:t xml:space="preserve">Denmark</w:t>
            </w:r>
          </w:p>
        </w:tc>
        <w:tc>
          <w:tcPr/>
          <w:p>
            <w:pPr>
              <w:pStyle w:val="Compact"/>
              <w:jc w:val="right"/>
            </w:pPr>
            <w:r>
              <w:t xml:space="preserve">0.812</w:t>
            </w:r>
          </w:p>
        </w:tc>
      </w:tr>
      <w:tr>
        <w:tc>
          <w:tcPr/>
          <w:p>
            <w:pPr>
              <w:pStyle w:val="Compact"/>
              <w:jc w:val="right"/>
            </w:pPr>
            <w:r>
              <w:t xml:space="preserve">43</w:t>
            </w:r>
          </w:p>
        </w:tc>
        <w:tc>
          <w:tcPr/>
          <w:p>
            <w:pPr>
              <w:pStyle w:val="Compact"/>
              <w:jc w:val="left"/>
            </w:pPr>
            <w:r>
              <w:t xml:space="preserve">Japan</w:t>
            </w:r>
          </w:p>
        </w:tc>
        <w:tc>
          <w:tcPr/>
          <w:p>
            <w:pPr>
              <w:pStyle w:val="Compact"/>
              <w:jc w:val="left"/>
            </w:pPr>
            <w:r>
              <w:t xml:space="preserve">Spain</w:t>
            </w:r>
          </w:p>
        </w:tc>
        <w:tc>
          <w:tcPr/>
          <w:p>
            <w:pPr>
              <w:pStyle w:val="Compact"/>
              <w:jc w:val="right"/>
            </w:pPr>
            <w:r>
              <w:t xml:space="preserve">0.824</w:t>
            </w:r>
          </w:p>
        </w:tc>
      </w:tr>
      <w:tr>
        <w:tc>
          <w:tcPr/>
          <w:p>
            <w:pPr>
              <w:pStyle w:val="Compact"/>
              <w:jc w:val="right"/>
            </w:pPr>
            <w:r>
              <w:t xml:space="preserve">46</w:t>
            </w:r>
          </w:p>
        </w:tc>
        <w:tc>
          <w:tcPr/>
          <w:p>
            <w:pPr>
              <w:pStyle w:val="Compact"/>
              <w:jc w:val="left"/>
            </w:pPr>
            <w:r>
              <w:t xml:space="preserve">South Korea</w:t>
            </w:r>
          </w:p>
        </w:tc>
        <w:tc>
          <w:tcPr/>
          <w:p>
            <w:pPr>
              <w:pStyle w:val="Compact"/>
              <w:jc w:val="left"/>
            </w:pPr>
            <w:r>
              <w:t xml:space="preserve">Portugal</w:t>
            </w:r>
          </w:p>
        </w:tc>
        <w:tc>
          <w:tcPr/>
          <w:p>
            <w:pPr>
              <w:pStyle w:val="Compact"/>
              <w:jc w:val="right"/>
            </w:pPr>
            <w:r>
              <w:t xml:space="preserve">0.824</w:t>
            </w:r>
          </w:p>
        </w:tc>
      </w:tr>
      <w:tr>
        <w:tc>
          <w:tcPr/>
          <w:p>
            <w:pPr>
              <w:pStyle w:val="Compact"/>
              <w:jc w:val="right"/>
            </w:pPr>
            <w:r>
              <w:t xml:space="preserve">47</w:t>
            </w:r>
          </w:p>
        </w:tc>
        <w:tc>
          <w:tcPr/>
          <w:p>
            <w:pPr>
              <w:pStyle w:val="Compact"/>
              <w:jc w:val="left"/>
            </w:pPr>
            <w:r>
              <w:t xml:space="preserve">Cameroon</w:t>
            </w:r>
          </w:p>
        </w:tc>
        <w:tc>
          <w:tcPr/>
          <w:p>
            <w:pPr>
              <w:pStyle w:val="Compact"/>
              <w:jc w:val="left"/>
            </w:pPr>
            <w:r>
              <w:t xml:space="preserve">Brazil</w:t>
            </w:r>
          </w:p>
        </w:tc>
        <w:tc>
          <w:tcPr/>
          <w:p>
            <w:pPr>
              <w:pStyle w:val="Compact"/>
              <w:jc w:val="right"/>
            </w:pPr>
            <w:r>
              <w:t xml:space="preserve">0.830</w:t>
            </w:r>
          </w:p>
        </w:tc>
      </w:tr>
      <w:tr>
        <w:tc>
          <w:tcPr/>
          <w:p>
            <w:pPr>
              <w:pStyle w:val="Compact"/>
              <w:jc w:val="right"/>
            </w:pPr>
            <w:r>
              <w:t xml:space="preserve">17</w:t>
            </w:r>
          </w:p>
        </w:tc>
        <w:tc>
          <w:tcPr/>
          <w:p>
            <w:pPr>
              <w:pStyle w:val="Compact"/>
              <w:jc w:val="left"/>
            </w:pPr>
            <w:r>
              <w:t xml:space="preserve">Wales</w:t>
            </w:r>
          </w:p>
        </w:tc>
        <w:tc>
          <w:tcPr/>
          <w:p>
            <w:pPr>
              <w:pStyle w:val="Compact"/>
              <w:jc w:val="left"/>
            </w:pPr>
            <w:r>
              <w:t xml:space="preserve">Iran</w:t>
            </w:r>
          </w:p>
        </w:tc>
        <w:tc>
          <w:tcPr/>
          <w:p>
            <w:pPr>
              <w:pStyle w:val="Compact"/>
              <w:jc w:val="right"/>
            </w:pPr>
            <w:r>
              <w:t xml:space="preserve">0.835</w:t>
            </w:r>
          </w:p>
        </w:tc>
      </w:tr>
      <w:tr>
        <w:tc>
          <w:tcPr/>
          <w:p>
            <w:pPr>
              <w:pStyle w:val="Compact"/>
              <w:jc w:val="right"/>
            </w:pPr>
            <w:r>
              <w:t xml:space="preserve">32</w:t>
            </w:r>
          </w:p>
        </w:tc>
        <w:tc>
          <w:tcPr/>
          <w:p>
            <w:pPr>
              <w:pStyle w:val="Compact"/>
              <w:jc w:val="left"/>
            </w:pPr>
            <w:r>
              <w:t xml:space="preserve">Portugal</w:t>
            </w:r>
          </w:p>
        </w:tc>
        <w:tc>
          <w:tcPr/>
          <w:p>
            <w:pPr>
              <w:pStyle w:val="Compact"/>
              <w:jc w:val="left"/>
            </w:pPr>
            <w:r>
              <w:t xml:space="preserve">Uruguay</w:t>
            </w:r>
          </w:p>
        </w:tc>
        <w:tc>
          <w:tcPr/>
          <w:p>
            <w:pPr>
              <w:pStyle w:val="Compact"/>
              <w:jc w:val="right"/>
            </w:pPr>
            <w:r>
              <w:t xml:space="preserve">0.836</w:t>
            </w:r>
          </w:p>
        </w:tc>
      </w:tr>
    </w:tbl>
    <w:p>
      <w:pPr>
        <w:pStyle w:val="BodyText"/>
      </w:pPr>
      <w:r>
        <w:t xml:space="preserve">Con la regressione robusta basata sulla funzione peso di Tukey bisquare,</w:t>
      </w:r>
      <w:r>
        <w:t xml:space="preserve"> </w:t>
      </w:r>
      <w:r>
        <w:t xml:space="preserve">le osservazioni vengono penalizzate in modo più aggressivo rispetto a Huber:</w:t>
      </w:r>
      <w:r>
        <w:t xml:space="preserve"> </w:t>
      </w:r>
      <w:r>
        <w:t xml:space="preserve">i residui grandi vengono progressivamente azzerati, anziché semplicemente</w:t>
      </w:r>
      <w:r>
        <w:t xml:space="preserve"> </w:t>
      </w:r>
      <w:r>
        <w:t xml:space="preserve">ridotti. La soglia scelta (peso &lt; 0.85) individua 15 partite che il modello</w:t>
      </w:r>
      <w:r>
        <w:t xml:space="preserve"> </w:t>
      </w:r>
      <w:r>
        <w:t xml:space="preserve">fatica a spiegare.</w:t>
      </w:r>
    </w:p>
    <w:p>
      <w:pPr>
        <w:pStyle w:val="BodyText"/>
      </w:pPr>
      <w:r>
        <w:t xml:space="preserve">Il caso più estremo è</w:t>
      </w:r>
      <w:r>
        <w:t xml:space="preserve"> </w:t>
      </w:r>
      <w:r>
        <w:rPr>
          <w:b/>
          <w:bCs/>
        </w:rPr>
        <w:t xml:space="preserve">Spain–Costa Rica</w:t>
      </w:r>
      <w:r>
        <w:t xml:space="preserve"> </w:t>
      </w:r>
      <w:r>
        <w:t xml:space="preserve">(peso = 0.081), praticamente</w:t>
      </w:r>
      <w:r>
        <w:t xml:space="preserve"> </w:t>
      </w:r>
      <w:r>
        <w:t xml:space="preserve">esclusa dal fit: il risultato finale di 7–0 costituisce un outlier severo,</w:t>
      </w:r>
      <w:r>
        <w:t xml:space="preserve"> </w:t>
      </w:r>
      <w:r>
        <w:t xml:space="preserve">in cui il divario realizzato ha superato di gran lunga le aspettative del</w:t>
      </w:r>
      <w:r>
        <w:t xml:space="preserve"> </w:t>
      </w:r>
      <w:r>
        <w:t xml:space="preserve">modello anche tenuto conto della differenza qualitativa tra le due squadre.</w:t>
      </w:r>
    </w:p>
    <w:p>
      <w:pPr>
        <w:pStyle w:val="BodyText"/>
      </w:pPr>
      <w:r>
        <w:t xml:space="preserve">Un secondo gruppo comprende alcune delle</w:t>
      </w:r>
      <w:r>
        <w:t xml:space="preserve"> </w:t>
      </w:r>
      <w:r>
        <w:rPr>
          <w:b/>
          <w:bCs/>
        </w:rPr>
        <w:t xml:space="preserve">sorprese più celebri del</w:t>
      </w:r>
      <w:r>
        <w:rPr>
          <w:b/>
          <w:bCs/>
        </w:rPr>
        <w:t xml:space="preserve"> </w:t>
      </w:r>
      <w:r>
        <w:rPr>
          <w:b/>
          <w:bCs/>
        </w:rPr>
        <w:t xml:space="preserve">torneo</w:t>
      </w:r>
      <w:r>
        <w:t xml:space="preserve">: Germany–Japan (0.807), South Korea–Portugal (0.824) e</w:t>
      </w:r>
      <w:r>
        <w:t xml:space="preserve"> </w:t>
      </w:r>
      <w:r>
        <w:t xml:space="preserve">Cameroon–Brazil (0.830) sono tutte partite in cui la squadra sfavorita</w:t>
      </w:r>
      <w:r>
        <w:t xml:space="preserve"> </w:t>
      </w:r>
      <w:r>
        <w:t xml:space="preserve">ha ottenuto un risultato positivo contro avversari di rango nettamente</w:t>
      </w:r>
      <w:r>
        <w:t xml:space="preserve"> </w:t>
      </w:r>
      <w:r>
        <w:t xml:space="preserve">superiore. Il modello, costruito su indicatori di forza pre-torneo, non</w:t>
      </w:r>
      <w:r>
        <w:t xml:space="preserve"> </w:t>
      </w:r>
      <w:r>
        <w:t xml:space="preserve">riesce a catturare questi capovolgimenti, che vengono quindi trattati come</w:t>
      </w:r>
      <w:r>
        <w:t xml:space="preserve"> </w:t>
      </w:r>
      <w:r>
        <w:t xml:space="preserve">osservazioni anomale.</w:t>
      </w:r>
    </w:p>
    <w:p>
      <w:pPr>
        <w:pStyle w:val="BodyText"/>
      </w:pPr>
      <w:r>
        <w:t xml:space="preserve">È inoltre degno di nota il fatto che il</w:t>
      </w:r>
      <w:r>
        <w:t xml:space="preserve"> </w:t>
      </w:r>
      <w:r>
        <w:rPr>
          <w:b/>
          <w:bCs/>
        </w:rPr>
        <w:t xml:space="preserve">Portogallo</w:t>
      </w:r>
      <w:r>
        <w:t xml:space="preserve"> </w:t>
      </w:r>
      <w:r>
        <w:t xml:space="preserve">compaia in tre</w:t>
      </w:r>
      <w:r>
        <w:t xml:space="preserve"> </w:t>
      </w:r>
      <w:r>
        <w:t xml:space="preserve">partite distinte (osservazioni 56, 32 e 46), suggerendo che le sue</w:t>
      </w:r>
      <w:r>
        <w:t xml:space="preserve"> </w:t>
      </w:r>
      <w:r>
        <w:t xml:space="preserve">prestazioni nel torneo presentino una variabilità sistematica difficile</w:t>
      </w:r>
      <w:r>
        <w:t xml:space="preserve"> </w:t>
      </w:r>
      <w:r>
        <w:t xml:space="preserve">da modellare con i predittori disponibili.</w:t>
      </w:r>
    </w:p>
    <w:bookmarkEnd w:id="51"/>
    <w:bookmarkEnd w:id="52"/>
    <w:bookmarkStart w:id="61" w:name="valutazione-predittiva"/>
    <w:p>
      <w:pPr>
        <w:pStyle w:val="Heading1"/>
      </w:pPr>
      <w:r>
        <w:t xml:space="preserve">6. Valutazione predittiva</w:t>
      </w:r>
    </w:p>
    <w:bookmarkStart w:id="56" w:name="cross-validation"/>
    <w:p>
      <w:pPr>
        <w:pStyle w:val="Heading2"/>
      </w:pPr>
      <w:r>
        <w:t xml:space="preserve">6.1 Cross-validation</w:t>
      </w:r>
    </w:p>
    <w:p>
      <w:pPr>
        <w:pStyle w:val="FirstParagraph"/>
      </w:pPr>
      <w:r>
        <w:t xml:space="preserve">La capacità predittiva del modello viene valutata mediante Leave-One-Out Cross-Validation (LOOCV) e 10-fold CV, che stimano l’errore di previsione su dati non usati per la stima.</w:t>
      </w:r>
    </w:p>
    <w:bookmarkStart w:id="53" w:name="leave-one-out-cross-validation-loocv"/>
    <w:p>
      <w:pPr>
        <w:pStyle w:val="Heading3"/>
      </w:pPr>
      <w:r>
        <w:t xml:space="preserve">6.1.1 Leave-One-Out Cross-Validation (LOOCV)</w:t>
      </w:r>
    </w:p>
    <w:p>
      <w:pPr>
        <w:pStyle w:val="FirstParagraph"/>
      </w:pPr>
      <w:r>
        <w:t xml:space="preserve">In ciascuna delle 64 iterazioni, il modello viene stimato su 63 partite e la previsione viene effettuata sull’osservazione esclusa. Per la regressione lineare il LOOCV-MSE può essere calcolato in forma chiusa tramite gli hat values:</w:t>
      </w:r>
    </w:p>
    <w:p>
      <w:pPr>
        <w:pStyle w:val="BodyText"/>
      </w:pPr>
      <m:oMathPara>
        <m:oMathParaPr>
          <m:jc m:val="center"/>
        </m:oMathParaPr>
        <m:oMath>
          <m:r>
            <m:rPr>
              <m:nor/>
              <m:sty m:val="p"/>
            </m:rPr>
            <m:t>LOOCV-MSE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e</m:t>
                              </m:r>
                            </m:e>
                            <m:sub>
                              <m:r>
                                <m:t>i</m:t>
                              </m:r>
                            </m:sub>
                          </m:sSub>
                        </m:num>
                        <m:den>
                          <m:r>
                            <m:t>1</m:t>
                          </m:r>
                          <m:r>
                            <m:rPr>
                              <m:sty m:val="p"/>
                            </m:rPr>
                            <m:t>−</m:t>
                          </m:r>
                          <m:sSub>
                            <m:e>
                              <m:r>
                                <m:t>h</m:t>
                              </m:r>
                            </m:e>
                            <m:sub>
                              <m:r>
                                <m:t>i</m:t>
                              </m:r>
                              <m:r>
                                <m:t>i</m:t>
                              </m:r>
                            </m:sub>
                          </m:sSub>
                        </m:den>
                      </m:f>
                    </m:e>
                  </m:d>
                </m:e>
                <m:sup>
                  <m:r>
                    <m:t>2</m:t>
                  </m:r>
                </m:sup>
              </m:sSup>
            </m:e>
          </m:nary>
        </m:oMath>
      </m:oMathPara>
    </w:p>
    <w:p>
      <w:pPr>
        <w:pStyle w:val="FirstParagraph"/>
      </w:pPr>
      <w:r>
        <w:t xml:space="preserve">dove</w:t>
      </w:r>
      <w:r>
        <w:t xml:space="preserve"> </w:t>
      </w:r>
      <m:oMath>
        <m:sSub>
          <m:e>
            <m:r>
              <m:t>e</m:t>
            </m:r>
          </m:e>
          <m:sub>
            <m:r>
              <m:t>i</m:t>
            </m:r>
          </m:sub>
        </m:sSub>
      </m:oMath>
      <w:r>
        <w:t xml:space="preserve"> </w:t>
      </w:r>
      <w:r>
        <w:t xml:space="preserve">è il residuo OLS dell’osservazione</w:t>
      </w:r>
      <w:r>
        <w:t xml:space="preserve"> </w:t>
      </w:r>
      <m:oMath>
        <m:r>
          <m:t>i</m:t>
        </m:r>
      </m:oMath>
      <w:r>
        <w:t xml:space="preserve"> </w:t>
      </w:r>
      <w:r>
        <w:t xml:space="preserve">e</w:t>
      </w:r>
      <w:r>
        <w:t xml:space="preserve"> </w:t>
      </w:r>
      <m:oMath>
        <m:sSub>
          <m:e>
            <m:r>
              <m:t>h</m:t>
            </m:r>
          </m:e>
          <m:sub>
            <m:r>
              <m:t>i</m:t>
            </m:r>
            <m:r>
              <m:t>i</m:t>
            </m:r>
          </m:sub>
        </m:sSub>
      </m:oMath>
      <w:r>
        <w:t xml:space="preserve"> </w:t>
      </w:r>
      <w:r>
        <w:t xml:space="preserve">è il leverage, ovvero l’elemento diagonale della matrice cappello</w:t>
      </w:r>
      <w:r>
        <w:t xml:space="preserve"> </w:t>
      </w:r>
      <m:oMath>
        <m:r>
          <m:rPr>
            <m:sty m:val="b"/>
          </m:rPr>
          <m:t>H</m:t>
        </m:r>
        <m:r>
          <m:rPr>
            <m:sty m:val="p"/>
          </m:rPr>
          <m:t>=</m:t>
        </m:r>
        <m:r>
          <m:rPr>
            <m:sty m:val="b"/>
          </m:rPr>
          <m:t>X</m:t>
        </m:r>
        <m:r>
          <m:rPr>
            <m:sty m:val="p"/>
          </m:rPr>
          <m:t>(</m:t>
        </m:r>
        <m:sSup>
          <m:e>
            <m:r>
              <m:rPr>
                <m:sty m:val="b"/>
              </m:rPr>
              <m:t>X</m:t>
            </m:r>
          </m:e>
          <m:sup>
            <m:r>
              <m:rPr>
                <m:sty m:val="p"/>
              </m:rPr>
              <m:t>⊤</m:t>
            </m:r>
          </m:sup>
        </m:sSup>
        <m:r>
          <m:rPr>
            <m:sty m:val="b"/>
          </m:rPr>
          <m:t>X</m:t>
        </m:r>
        <m:sSup>
          <m:e>
            <m:r>
              <m:rPr>
                <m:sty m:val="p"/>
              </m:rPr>
              <m:t>)</m:t>
            </m:r>
          </m:e>
          <m:sup>
            <m:r>
              <m:rPr>
                <m:sty m:val="p"/>
              </m:rPr>
              <m:t>−</m:t>
            </m:r>
            <m:r>
              <m:t>1</m:t>
            </m:r>
          </m:sup>
        </m:sSup>
        <m:sSup>
          <m:e>
            <m:r>
              <m:rPr>
                <m:sty m:val="b"/>
              </m:rPr>
              <m:t>X</m:t>
            </m:r>
          </m:e>
          <m:sup>
            <m:r>
              <m:rPr>
                <m:sty m:val="p"/>
              </m:rPr>
              <m:t>⊤</m:t>
            </m:r>
          </m:sup>
        </m:sSup>
      </m:oMath>
      <w:r>
        <w:t xml:space="preserve">. Questa formula evita di dover riaddestrare il modello</w:t>
      </w:r>
      <w:r>
        <w:t xml:space="preserve"> </w:t>
      </w:r>
      <m:oMath>
        <m:r>
          <m:t>n</m:t>
        </m:r>
      </m:oMath>
      <w:r>
        <w:t xml:space="preserve"> </w:t>
      </w:r>
      <w:r>
        <w:t xml:space="preserve">volte, rendendo il LOOCV computazionalmente efficiente nel caso lineare.</w:t>
      </w:r>
    </w:p>
    <w:p>
      <w:pPr>
        <w:pStyle w:val="SourceCode"/>
      </w:pPr>
      <w:r>
        <w:rPr>
          <w:rStyle w:val="VerbatimChar"/>
        </w:rPr>
        <w:t xml:space="preserve">=== LOOCV ===</w:t>
      </w:r>
      <w:r>
        <w:br/>
      </w:r>
      <w:r>
        <w:rPr>
          <w:rStyle w:val="VerbatimChar"/>
        </w:rPr>
        <w:t xml:space="preserve">MSE : 2.6542 </w:t>
      </w:r>
      <w:r>
        <w:br/>
      </w:r>
      <w:r>
        <w:rPr>
          <w:rStyle w:val="VerbatimChar"/>
        </w:rPr>
        <w:t xml:space="preserve">RMSE: 1.6292 </w:t>
      </w:r>
    </w:p>
    <w:p>
      <w:pPr>
        <w:pStyle w:val="FirstParagraph"/>
      </w:pPr>
      <w:r>
        <w:t xml:space="preserve">I risultati della LOOCV indicano un MSE di 2.654 e un RMSE di 1.629. Il primo rappresenta l’errore quadratico medio di previsione, penalizzando maggiormente gli errori grandi; il secondo, essendo la sua radice quadrata, è espresso nella stessa unità della variabile risposta (differenza reti) e risulta quindi più direttamente interpretabile. Un RMSE di circa 1.63 gol significa che, su osservazioni non usate per la stima, il modello sbaglia in media di circa 1.6 gol nella previsione del margine di vittoria, una precisione ragionevole considerata la natura intrinsecamente imprevedibile degli esiti calcistici.</w:t>
      </w:r>
    </w:p>
    <w:bookmarkEnd w:id="53"/>
    <w:bookmarkStart w:id="54" w:name="fold-cross-validation"/>
    <w:p>
      <w:pPr>
        <w:pStyle w:val="Heading3"/>
      </w:pPr>
      <w:r>
        <w:t xml:space="preserve">6.1.2 10-Fold Cross-Validation</w:t>
      </w:r>
    </w:p>
    <w:p>
      <w:pPr>
        <w:pStyle w:val="FirstParagraph"/>
      </w:pPr>
      <w:r>
        <w:t xml:space="preserve">Il dataset di 64 partite viene suddiviso casualmente in 10 gruppi (fold) di dimensione approssimativamente uguale. In ciascuna delle 10 iterazioni, un fold diverso viene messo da parte come insieme di test, mentre il modello viene stimato sulle restanti 9 parti. La previsione è poi calcolata sulle osservazioni escluse, e l’errore quadratico medio (MSE) viene registrato per quella iterazione. Al termine delle 10 iterazioni, il CV-MSE complessivo è la media dei 10 errori parziali:</w:t>
      </w:r>
    </w:p>
    <w:p>
      <w:pPr>
        <w:pStyle w:val="BodyText"/>
      </w:pPr>
      <m:oMathPara>
        <m:oMathParaPr>
          <m:jc m:val="center"/>
        </m:oMathParaPr>
        <m:oMath>
          <m:r>
            <m:rPr>
              <m:nor/>
              <m:sty m:val="p"/>
            </m:rPr>
            <m:t>10-fold CV-MSE</m:t>
          </m:r>
          <m:r>
            <m:rPr>
              <m:sty m:val="p"/>
            </m:rPr>
            <m:t>=</m:t>
          </m:r>
          <m:f>
            <m:fPr>
              <m:type m:val="bar"/>
            </m:fPr>
            <m:num>
              <m:r>
                <m:t>1</m:t>
              </m:r>
            </m:num>
            <m:den>
              <m:r>
                <m:t>10</m:t>
              </m:r>
            </m:den>
          </m:f>
          <m:nary>
            <m:naryPr>
              <m:chr m:val="∑"/>
              <m:limLoc m:val="undOvr"/>
              <m:subHide m:val="off"/>
              <m:supHide m:val="off"/>
            </m:naryPr>
            <m:sub>
              <m:r>
                <m:t>k</m:t>
              </m:r>
              <m:r>
                <m:rPr>
                  <m:sty m:val="p"/>
                </m:rPr>
                <m:t>=</m:t>
              </m:r>
              <m:r>
                <m:t>1</m:t>
              </m:r>
            </m:sub>
            <m:sup>
              <m:r>
                <m:t>10</m:t>
              </m:r>
            </m:sup>
            <m:e>
              <m:sSub>
                <m:e>
                  <m:r>
                    <m:rPr>
                      <m:nor/>
                      <m:sty m:val="p"/>
                    </m:rPr>
                    <m:t>MSE</m:t>
                  </m:r>
                </m:e>
                <m:sub>
                  <m:r>
                    <m:t>k</m:t>
                  </m:r>
                </m:sub>
              </m:sSub>
            </m:e>
          </m:nary>
        </m:oMath>
      </m:oMathPara>
    </w:p>
    <w:p>
      <w:pPr>
        <w:pStyle w:val="FirstParagraph"/>
      </w:pPr>
      <w:r>
        <w:t xml:space="preserve">Rispetto alla LOOCV, questa procedura introduce una fonte di variabilità aggiuntiva legata alla scelta casuale della partizione iniziale — motivo per cui, nel codice, si fissa un seme (set.seed) per garantire la riproducibilità. D’altra parte, con campioni piccoli, la 10-fold CV tende ad avere una varianza complessiva inferiore alla LOOCV, perché ciascun training set è meno simile agli altri e gli errori di previsione risultano meno correlati tra loro.</w:t>
      </w:r>
    </w:p>
    <w:p>
      <w:pPr>
        <w:pStyle w:val="SourceCode"/>
      </w:pPr>
      <w:r>
        <w:rPr>
          <w:rStyle w:val="VerbatimChar"/>
        </w:rPr>
        <w:t xml:space="preserve">=== 10-Fold CV ===</w:t>
      </w:r>
      <w:r>
        <w:br/>
      </w:r>
      <w:r>
        <w:rPr>
          <w:rStyle w:val="VerbatimChar"/>
        </w:rPr>
        <w:t xml:space="preserve">MSE : 2.8905 </w:t>
      </w:r>
      <w:r>
        <w:br/>
      </w:r>
      <w:r>
        <w:rPr>
          <w:rStyle w:val="VerbatimChar"/>
        </w:rPr>
        <w:t xml:space="preserve">RMSE: 1.7001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Fold</w:t>
            </w:r>
          </w:p>
        </w:tc>
        <w:tc>
          <w:tcPr/>
          <w:p>
            <w:pPr>
              <w:pStyle w:val="Compact"/>
              <w:jc w:val="right"/>
            </w:pPr>
            <w:r>
              <w:t xml:space="preserve">MSE</w:t>
            </w:r>
          </w:p>
        </w:tc>
      </w:tr>
      <w:tr>
        <w:tc>
          <w:tcPr/>
          <w:p>
            <w:pPr>
              <w:pStyle w:val="Compact"/>
              <w:jc w:val="right"/>
            </w:pPr>
            <w:r>
              <w:t xml:space="preserve">1</w:t>
            </w:r>
          </w:p>
        </w:tc>
        <w:tc>
          <w:tcPr/>
          <w:p>
            <w:pPr>
              <w:pStyle w:val="Compact"/>
              <w:jc w:val="right"/>
            </w:pPr>
            <w:r>
              <w:t xml:space="preserve">1.0774</w:t>
            </w:r>
          </w:p>
        </w:tc>
      </w:tr>
      <w:tr>
        <w:tc>
          <w:tcPr/>
          <w:p>
            <w:pPr>
              <w:pStyle w:val="Compact"/>
              <w:jc w:val="right"/>
            </w:pPr>
            <w:r>
              <w:t xml:space="preserve">2</w:t>
            </w:r>
          </w:p>
        </w:tc>
        <w:tc>
          <w:tcPr/>
          <w:p>
            <w:pPr>
              <w:pStyle w:val="Compact"/>
              <w:jc w:val="right"/>
            </w:pPr>
            <w:r>
              <w:t xml:space="preserve">2.5690</w:t>
            </w:r>
          </w:p>
        </w:tc>
      </w:tr>
      <w:tr>
        <w:tc>
          <w:tcPr/>
          <w:p>
            <w:pPr>
              <w:pStyle w:val="Compact"/>
              <w:jc w:val="right"/>
            </w:pPr>
            <w:r>
              <w:t xml:space="preserve">3</w:t>
            </w:r>
          </w:p>
        </w:tc>
        <w:tc>
          <w:tcPr/>
          <w:p>
            <w:pPr>
              <w:pStyle w:val="Compact"/>
              <w:jc w:val="right"/>
            </w:pPr>
            <w:r>
              <w:t xml:space="preserve">1.9220</w:t>
            </w:r>
          </w:p>
        </w:tc>
      </w:tr>
      <w:tr>
        <w:tc>
          <w:tcPr/>
          <w:p>
            <w:pPr>
              <w:pStyle w:val="Compact"/>
              <w:jc w:val="right"/>
            </w:pPr>
            <w:r>
              <w:t xml:space="preserve">4</w:t>
            </w:r>
          </w:p>
        </w:tc>
        <w:tc>
          <w:tcPr/>
          <w:p>
            <w:pPr>
              <w:pStyle w:val="Compact"/>
              <w:jc w:val="right"/>
            </w:pPr>
            <w:r>
              <w:t xml:space="preserve">2.7242</w:t>
            </w:r>
          </w:p>
        </w:tc>
      </w:tr>
      <w:tr>
        <w:tc>
          <w:tcPr/>
          <w:p>
            <w:pPr>
              <w:pStyle w:val="Compact"/>
              <w:jc w:val="right"/>
            </w:pPr>
            <w:r>
              <w:t xml:space="preserve">5</w:t>
            </w:r>
          </w:p>
        </w:tc>
        <w:tc>
          <w:tcPr/>
          <w:p>
            <w:pPr>
              <w:pStyle w:val="Compact"/>
              <w:jc w:val="right"/>
            </w:pPr>
            <w:r>
              <w:t xml:space="preserve">3.7054</w:t>
            </w:r>
          </w:p>
        </w:tc>
      </w:tr>
      <w:tr>
        <w:tc>
          <w:tcPr/>
          <w:p>
            <w:pPr>
              <w:pStyle w:val="Compact"/>
              <w:jc w:val="right"/>
            </w:pPr>
            <w:r>
              <w:t xml:space="preserve">6</w:t>
            </w:r>
          </w:p>
        </w:tc>
        <w:tc>
          <w:tcPr/>
          <w:p>
            <w:pPr>
              <w:pStyle w:val="Compact"/>
              <w:jc w:val="right"/>
            </w:pPr>
            <w:r>
              <w:t xml:space="preserve">2.1687</w:t>
            </w:r>
          </w:p>
        </w:tc>
      </w:tr>
      <w:tr>
        <w:tc>
          <w:tcPr/>
          <w:p>
            <w:pPr>
              <w:pStyle w:val="Compact"/>
              <w:jc w:val="right"/>
            </w:pPr>
            <w:r>
              <w:t xml:space="preserve">7</w:t>
            </w:r>
          </w:p>
        </w:tc>
        <w:tc>
          <w:tcPr/>
          <w:p>
            <w:pPr>
              <w:pStyle w:val="Compact"/>
              <w:jc w:val="right"/>
            </w:pPr>
            <w:r>
              <w:t xml:space="preserve">9.8171</w:t>
            </w:r>
          </w:p>
        </w:tc>
      </w:tr>
      <w:tr>
        <w:tc>
          <w:tcPr/>
          <w:p>
            <w:pPr>
              <w:pStyle w:val="Compact"/>
              <w:jc w:val="right"/>
            </w:pPr>
            <w:r>
              <w:t xml:space="preserve">8</w:t>
            </w:r>
          </w:p>
        </w:tc>
        <w:tc>
          <w:tcPr/>
          <w:p>
            <w:pPr>
              <w:pStyle w:val="Compact"/>
              <w:jc w:val="right"/>
            </w:pPr>
            <w:r>
              <w:t xml:space="preserve">2.1838</w:t>
            </w:r>
          </w:p>
        </w:tc>
      </w:tr>
      <w:tr>
        <w:tc>
          <w:tcPr/>
          <w:p>
            <w:pPr>
              <w:pStyle w:val="Compact"/>
              <w:jc w:val="right"/>
            </w:pPr>
            <w:r>
              <w:t xml:space="preserve">9</w:t>
            </w:r>
          </w:p>
        </w:tc>
        <w:tc>
          <w:tcPr/>
          <w:p>
            <w:pPr>
              <w:pStyle w:val="Compact"/>
              <w:jc w:val="right"/>
            </w:pPr>
            <w:r>
              <w:t xml:space="preserve">1.0631</w:t>
            </w:r>
          </w:p>
        </w:tc>
      </w:tr>
      <w:tr>
        <w:tc>
          <w:tcPr/>
          <w:p>
            <w:pPr>
              <w:pStyle w:val="Compact"/>
              <w:jc w:val="right"/>
            </w:pPr>
            <w:r>
              <w:t xml:space="preserve">10</w:t>
            </w:r>
          </w:p>
        </w:tc>
        <w:tc>
          <w:tcPr/>
          <w:p>
            <w:pPr>
              <w:pStyle w:val="Compact"/>
              <w:jc w:val="right"/>
            </w:pPr>
            <w:r>
              <w:t xml:space="preserve">1.6742</w:t>
            </w:r>
          </w:p>
        </w:tc>
      </w:tr>
    </w:tbl>
    <w:bookmarkEnd w:id="54"/>
    <w:bookmarkStart w:id="55" w:name="tabella-riepilogativa"/>
    <w:p>
      <w:pPr>
        <w:pStyle w:val="Heading3"/>
      </w:pPr>
      <w:r>
        <w:t xml:space="preserve">6.1.3 Tabella riepilogativa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Metodo</w:t>
            </w:r>
          </w:p>
        </w:tc>
        <w:tc>
          <w:tcPr/>
          <w:p>
            <w:pPr>
              <w:pStyle w:val="Compact"/>
              <w:jc w:val="right"/>
            </w:pPr>
            <w:r>
              <w:t xml:space="preserve">MSE</w:t>
            </w:r>
          </w:p>
        </w:tc>
        <w:tc>
          <w:tcPr/>
          <w:p>
            <w:pPr>
              <w:pStyle w:val="Compact"/>
              <w:jc w:val="right"/>
            </w:pPr>
            <w:r>
              <w:t xml:space="preserve">RMSE</w:t>
            </w:r>
          </w:p>
        </w:tc>
      </w:tr>
      <w:tr>
        <w:tc>
          <w:tcPr/>
          <w:p>
            <w:pPr>
              <w:pStyle w:val="Compact"/>
              <w:jc w:val="left"/>
            </w:pPr>
            <w:r>
              <w:t xml:space="preserve">In-sample (OLS)</w:t>
            </w:r>
          </w:p>
        </w:tc>
        <w:tc>
          <w:tcPr/>
          <w:p>
            <w:pPr>
              <w:pStyle w:val="Compact"/>
              <w:jc w:val="right"/>
            </w:pPr>
            <w:r>
              <w:t xml:space="preserve">2.3232</w:t>
            </w:r>
          </w:p>
        </w:tc>
        <w:tc>
          <w:tcPr/>
          <w:p>
            <w:pPr>
              <w:pStyle w:val="Compact"/>
              <w:jc w:val="right"/>
            </w:pPr>
            <w:r>
              <w:t xml:space="preserve">1.5242</w:t>
            </w:r>
          </w:p>
        </w:tc>
      </w:tr>
      <w:tr>
        <w:tc>
          <w:tcPr/>
          <w:p>
            <w:pPr>
              <w:pStyle w:val="Compact"/>
              <w:jc w:val="left"/>
            </w:pPr>
            <w:r>
              <w:t xml:space="preserve">LOOCV</w:t>
            </w:r>
          </w:p>
        </w:tc>
        <w:tc>
          <w:tcPr/>
          <w:p>
            <w:pPr>
              <w:pStyle w:val="Compact"/>
              <w:jc w:val="right"/>
            </w:pPr>
            <w:r>
              <w:t xml:space="preserve">2.6542</w:t>
            </w:r>
          </w:p>
        </w:tc>
        <w:tc>
          <w:tcPr/>
          <w:p>
            <w:pPr>
              <w:pStyle w:val="Compact"/>
              <w:jc w:val="right"/>
            </w:pPr>
            <w:r>
              <w:t xml:space="preserve">1.6292</w:t>
            </w:r>
          </w:p>
        </w:tc>
      </w:tr>
      <w:tr>
        <w:tc>
          <w:tcPr/>
          <w:p>
            <w:pPr>
              <w:pStyle w:val="Compact"/>
              <w:jc w:val="left"/>
            </w:pPr>
            <w:r>
              <w:t xml:space="preserve">10-Fold CV</w:t>
            </w:r>
          </w:p>
        </w:tc>
        <w:tc>
          <w:tcPr/>
          <w:p>
            <w:pPr>
              <w:pStyle w:val="Compact"/>
              <w:jc w:val="right"/>
            </w:pPr>
            <w:r>
              <w:t xml:space="preserve">2.8905</w:t>
            </w:r>
          </w:p>
        </w:tc>
        <w:tc>
          <w:tcPr/>
          <w:p>
            <w:pPr>
              <w:pStyle w:val="Compact"/>
              <w:jc w:val="right"/>
            </w:pPr>
            <w:r>
              <w:t xml:space="preserve">1.7001</w:t>
            </w:r>
          </w:p>
        </w:tc>
      </w:tr>
      <w:tr>
        <w:tc>
          <w:tcPr/>
          <w:p>
            <w:pPr>
              <w:pStyle w:val="Compact"/>
              <w:jc w:val="left"/>
            </w:pPr>
            <w:r>
              <w:t xml:space="preserve">Baseline (nullo)</w:t>
            </w:r>
          </w:p>
        </w:tc>
        <w:tc>
          <w:tcPr/>
          <w:p>
            <w:pPr>
              <w:pStyle w:val="Compact"/>
              <w:jc w:val="right"/>
            </w:pPr>
            <w:r>
              <w:t xml:space="preserve">3.6407</w:t>
            </w:r>
          </w:p>
        </w:tc>
        <w:tc>
          <w:tcPr/>
          <w:p>
            <w:pPr>
              <w:pStyle w:val="Compact"/>
              <w:jc w:val="right"/>
            </w:pPr>
            <w:r>
              <w:t xml:space="preserve">1.9081</w:t>
            </w:r>
          </w:p>
        </w:tc>
      </w:tr>
    </w:tbl>
    <w:p>
      <w:pPr>
        <w:pStyle w:val="SourceCode"/>
      </w:pPr>
      <w:r>
        <w:br/>
      </w:r>
      <w:r>
        <w:rPr>
          <w:rStyle w:val="VerbatimChar"/>
        </w:rPr>
        <w:t xml:space="preserve">R² in-sample    : 0.3178 </w:t>
      </w:r>
      <w:r>
        <w:br/>
      </w:r>
      <w:r>
        <w:rPr>
          <w:rStyle w:val="VerbatimChar"/>
        </w:rPr>
        <w:t xml:space="preserve">R² adj in-sample: 0.2837 </w:t>
      </w:r>
      <w:r>
        <w:br/>
      </w:r>
      <w:r>
        <w:rPr>
          <w:rStyle w:val="VerbatimChar"/>
        </w:rPr>
        <w:t xml:space="preserve">R² CV (10-fold) : 0.2061 </w:t>
      </w:r>
    </w:p>
    <w:p>
      <w:pPr>
        <w:pStyle w:val="FirstParagraph"/>
      </w:pPr>
      <w:r>
        <w:t xml:space="preserve">Il MSE in-sample è inferiore a quello dei metodi CV, come atteso (l’OLS minimizza l’MSE sul campione di stima). Il passaggio da in-sample a out-of-sample comporta un degrado contenuto: l’RMSE CV rimane nell’ordine di 1.5 gol, indicando che il modello generalizza in modo accettabile nonostante la piccola dimensione campionaria. L’R² CV è positivo e non trascurabile rispetto al baseline nullo, confermando un potere predittivo genuino e non solo di adattamento.</w:t>
      </w:r>
    </w:p>
    <w:bookmarkEnd w:id="55"/>
    <w:bookmarkEnd w:id="56"/>
    <w:bookmarkStart w:id="60" w:name="confronto-osservato-previsto"/>
    <w:p>
      <w:pPr>
        <w:pStyle w:val="Heading2"/>
      </w:pPr>
      <w:r>
        <w:t xml:space="preserve">6.2 Confronto osservato-previsto</w:t>
      </w:r>
    </w:p>
    <w:p>
      <w:pPr>
        <w:pStyle w:val="CaptionedFigure"/>
      </w:pPr>
      <w:r>
        <w:drawing>
          <wp:inline>
            <wp:extent cx="4620126" cy="3696101"/>
            <wp:effectExtent b="0" l="0" r="0" t="0"/>
            <wp:docPr descr="Confronto tra differenza reti osservata e prevista dal modello" title="" id="58" name="Picture"/>
            <a:graphic>
              <a:graphicData uri="http://schemas.openxmlformats.org/drawingml/2006/picture">
                <pic:pic>
                  <pic:nvPicPr>
                    <pic:cNvPr descr="analisi_world.cup.2022_report_files/figure-docx/scatter-osservato-previsto-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Confronto tra differenza reti osservata e prevista dal modello</w:t>
      </w:r>
    </w:p>
    <w:p>
      <w:pPr>
        <w:pStyle w:val="BodyText"/>
      </w:pPr>
      <w:r>
        <w:t xml:space="preserve">Il grafico confronta la differenza reti prevista dal modello con quella osservata.</w:t>
      </w:r>
      <w:r>
        <w:t xml:space="preserve"> </w:t>
      </w:r>
      <w:r>
        <w:t xml:space="preserve">La linea tratteggiata rossa rappresenta la previsione perfetta. I punti tendono</w:t>
      </w:r>
      <w:r>
        <w:t xml:space="preserve"> </w:t>
      </w:r>
      <w:r>
        <w:t xml:space="preserve">ad allinearsi attorno alla diagonale, indicando che il modello coglie correttamente</w:t>
      </w:r>
      <w:r>
        <w:t xml:space="preserve"> </w:t>
      </w:r>
      <w:r>
        <w:t xml:space="preserve">la direzione e l’ordine di grandezza dei risultati. La dispersione residua è</w:t>
      </w:r>
      <w:r>
        <w:t xml:space="preserve"> </w:t>
      </w:r>
      <w:r>
        <w:t xml:space="preserve">fisiologica e attesa, data la natura stocastica del gioco del calcio.</w:t>
      </w:r>
    </w:p>
    <w:p>
      <w:pPr>
        <w:pStyle w:val="TableCaption"/>
      </w:pPr>
      <w:r>
        <w:t xml:space="preserve">Metriche di valutazione in-sample</w:t>
      </w:r>
    </w:p>
    <w:tbl>
      <w:tblPr>
        <w:tblStyle w:val="Table"/>
        <w:tblW w:type="auto" w:w="0"/>
        <w:tblLook w:firstRow="1" w:lastRow="0" w:firstColumn="0" w:lastColumn="0" w:noHBand="0" w:noVBand="0" w:val="0020"/>
        <w:tblCaption w:val="Metriche di valutazione in-sample"/>
      </w:tblPr>
      <w:tblGrid>
        <w:gridCol w:w="3960"/>
        <w:gridCol w:w="3960"/>
      </w:tblGrid>
      <w:tr>
        <w:trPr>
          <w:tblHeader w:val="on"/>
        </w:trPr>
        <w:tc>
          <w:tcPr/>
          <w:p>
            <w:pPr>
              <w:pStyle w:val="Compact"/>
            </w:pPr>
          </w:p>
        </w:tc>
        <w:tc>
          <w:tcPr/>
          <w:p>
            <w:pPr>
              <w:pStyle w:val="Compact"/>
              <w:jc w:val="right"/>
            </w:pPr>
            <w:r>
              <w:t xml:space="preserve">Valore</w:t>
            </w:r>
          </w:p>
        </w:tc>
      </w:tr>
      <w:tr>
        <w:tc>
          <w:tcPr/>
          <w:p>
            <w:pPr>
              <w:pStyle w:val="Compact"/>
              <w:jc w:val="left"/>
            </w:pPr>
            <w:r>
              <w:t xml:space="preserve">bias</w:t>
            </w:r>
          </w:p>
        </w:tc>
        <w:tc>
          <w:tcPr/>
          <w:p>
            <w:pPr>
              <w:pStyle w:val="Compact"/>
              <w:jc w:val="right"/>
            </w:pPr>
            <w:r>
              <w:t xml:space="preserve">0.0000</w:t>
            </w:r>
          </w:p>
        </w:tc>
      </w:tr>
      <w:tr>
        <w:tc>
          <w:tcPr/>
          <w:p>
            <w:pPr>
              <w:pStyle w:val="Compact"/>
              <w:jc w:val="left"/>
            </w:pPr>
            <w:r>
              <w:t xml:space="preserve">mae</w:t>
            </w:r>
          </w:p>
        </w:tc>
        <w:tc>
          <w:tcPr/>
          <w:p>
            <w:pPr>
              <w:pStyle w:val="Compact"/>
              <w:jc w:val="right"/>
            </w:pPr>
            <w:r>
              <w:t xml:space="preserve">1.1851</w:t>
            </w:r>
          </w:p>
        </w:tc>
      </w:tr>
      <w:tr>
        <w:tc>
          <w:tcPr/>
          <w:p>
            <w:pPr>
              <w:pStyle w:val="Compact"/>
              <w:jc w:val="left"/>
            </w:pPr>
            <w:r>
              <w:t xml:space="preserve">rmse</w:t>
            </w:r>
          </w:p>
        </w:tc>
        <w:tc>
          <w:tcPr/>
          <w:p>
            <w:pPr>
              <w:pStyle w:val="Compact"/>
              <w:jc w:val="right"/>
            </w:pPr>
            <w:r>
              <w:t xml:space="preserve">1.5242</w:t>
            </w:r>
          </w:p>
        </w:tc>
      </w:tr>
      <w:tr>
        <w:tc>
          <w:tcPr/>
          <w:p>
            <w:pPr>
              <w:pStyle w:val="Compact"/>
              <w:jc w:val="left"/>
            </w:pPr>
            <w:r>
              <w:t xml:space="preserve">correlazione</w:t>
            </w:r>
          </w:p>
        </w:tc>
        <w:tc>
          <w:tcPr/>
          <w:p>
            <w:pPr>
              <w:pStyle w:val="Compact"/>
              <w:jc w:val="right"/>
            </w:pPr>
            <w:r>
              <w:t xml:space="preserve">0.5637</w:t>
            </w:r>
          </w:p>
        </w:tc>
      </w:tr>
      <w:tr>
        <w:tc>
          <w:tcPr/>
          <w:p>
            <w:pPr>
              <w:pStyle w:val="Compact"/>
              <w:jc w:val="left"/>
            </w:pPr>
            <w:r>
              <w:t xml:space="preserve">acc_entro_1</w:t>
            </w:r>
          </w:p>
        </w:tc>
        <w:tc>
          <w:tcPr/>
          <w:p>
            <w:pPr>
              <w:pStyle w:val="Compact"/>
              <w:jc w:val="right"/>
            </w:pPr>
            <w:r>
              <w:t xml:space="preserve">53.1000</w:t>
            </w:r>
          </w:p>
        </w:tc>
      </w:tr>
      <w:tr>
        <w:tc>
          <w:tcPr/>
          <w:p>
            <w:pPr>
              <w:pStyle w:val="Compact"/>
              <w:jc w:val="left"/>
            </w:pPr>
            <w:r>
              <w:t xml:space="preserve">acc_esatta</w:t>
            </w:r>
          </w:p>
        </w:tc>
        <w:tc>
          <w:tcPr/>
          <w:p>
            <w:pPr>
              <w:pStyle w:val="Compact"/>
              <w:jc w:val="right"/>
            </w:pPr>
            <w:r>
              <w:t xml:space="preserve">28.1000</w:t>
            </w:r>
          </w:p>
        </w:tc>
      </w:tr>
    </w:tbl>
    <w:p>
      <w:pPr>
        <w:pStyle w:val="BodyText"/>
      </w:pPr>
      <w:r>
        <w:t xml:space="preserve">Le metriche di valutazione in-sample confermano la buona calibrazione del modello.</w:t>
      </w:r>
      <w:r>
        <w:t xml:space="preserve"> </w:t>
      </w:r>
      <w:r>
        <w:t xml:space="preserve">Il bias nullo (0.000) indica che le previsioni non sono sistematicamente sovra o sottostimate. Il MAE (1.185) e il RMSE (1.524) rappresentano rispettivamente l’errore medio assoluto e la sua versione penalizzata per gli scarti più grandi, entrambi contenuti considerata la scala della variabile risposta. La correlazione tra valori previsti e osservati è pari a 0.564, indicando una discreta capacità predittiva. Infine, il 53.1% delle partite è stato previsto con uno scarto di al più un gol, e il 28.1% con il risultato esatto in termini di differenza reti.</w:t>
      </w:r>
    </w:p>
    <w:p>
      <w:pPr>
        <w:pStyle w:val="TableCaption"/>
      </w:pPr>
      <w:r>
        <w:t xml:space="preserve">Matrice di confusione: esito osservato vs esito previsto</w:t>
      </w:r>
    </w:p>
    <w:tbl>
      <w:tblPr>
        <w:tblStyle w:val="Table"/>
        <w:tblW w:type="auto" w:w="0"/>
        <w:tblLook w:firstRow="1" w:lastRow="0" w:firstColumn="0" w:lastColumn="0" w:noHBand="0" w:noVBand="0" w:val="0020"/>
        <w:tblCaption w:val="Matrice di confusione: esito osservato vs esito previsto"/>
      </w:tblPr>
      <w:tblGrid>
        <w:gridCol w:w="1980"/>
        <w:gridCol w:w="1980"/>
        <w:gridCol w:w="1980"/>
        <w:gridCol w:w="1980"/>
      </w:tblGrid>
      <w:tr>
        <w:trPr>
          <w:tblHeader w:val="on"/>
        </w:trPr>
        <w:tc>
          <w:tcPr/>
          <w:p>
            <w:pPr>
              <w:pStyle w:val="Compact"/>
            </w:pPr>
          </w:p>
        </w:tc>
        <w:tc>
          <w:tcPr/>
          <w:p>
            <w:pPr>
              <w:pStyle w:val="Compact"/>
              <w:jc w:val="right"/>
            </w:pPr>
            <w:r>
              <w:t xml:space="preserve">Pareggio</w:t>
            </w:r>
          </w:p>
        </w:tc>
        <w:tc>
          <w:tcPr/>
          <w:p>
            <w:pPr>
              <w:pStyle w:val="Compact"/>
              <w:jc w:val="right"/>
            </w:pPr>
            <w:r>
              <w:t xml:space="preserve">Vittoria away</w:t>
            </w:r>
          </w:p>
        </w:tc>
        <w:tc>
          <w:tcPr/>
          <w:p>
            <w:pPr>
              <w:pStyle w:val="Compact"/>
              <w:jc w:val="right"/>
            </w:pPr>
            <w:r>
              <w:t xml:space="preserve">Vittoria home</w:t>
            </w:r>
          </w:p>
        </w:tc>
      </w:tr>
      <w:tr>
        <w:tc>
          <w:tcPr/>
          <w:p>
            <w:pPr>
              <w:pStyle w:val="Compact"/>
              <w:jc w:val="left"/>
            </w:pPr>
            <w:r>
              <w:t xml:space="preserve">Pareggio</w:t>
            </w:r>
          </w:p>
        </w:tc>
        <w:tc>
          <w:tcPr/>
          <w:p>
            <w:pPr>
              <w:pStyle w:val="Compact"/>
              <w:jc w:val="right"/>
            </w:pPr>
            <w:r>
              <w:t xml:space="preserve">9</w:t>
            </w:r>
          </w:p>
        </w:tc>
        <w:tc>
          <w:tcPr/>
          <w:p>
            <w:pPr>
              <w:pStyle w:val="Compact"/>
              <w:jc w:val="right"/>
            </w:pPr>
            <w:r>
              <w:t xml:space="preserve">1</w:t>
            </w:r>
          </w:p>
        </w:tc>
        <w:tc>
          <w:tcPr/>
          <w:p>
            <w:pPr>
              <w:pStyle w:val="Compact"/>
              <w:jc w:val="right"/>
            </w:pPr>
            <w:r>
              <w:t xml:space="preserve">5</w:t>
            </w:r>
          </w:p>
        </w:tc>
      </w:tr>
      <w:tr>
        <w:tc>
          <w:tcPr/>
          <w:p>
            <w:pPr>
              <w:pStyle w:val="Compact"/>
              <w:jc w:val="left"/>
            </w:pPr>
            <w:r>
              <w:t xml:space="preserve">Vittoria away</w:t>
            </w:r>
          </w:p>
        </w:tc>
        <w:tc>
          <w:tcPr/>
          <w:p>
            <w:pPr>
              <w:pStyle w:val="Compact"/>
              <w:jc w:val="right"/>
            </w:pPr>
            <w:r>
              <w:t xml:space="preserve">9</w:t>
            </w:r>
          </w:p>
        </w:tc>
        <w:tc>
          <w:tcPr/>
          <w:p>
            <w:pPr>
              <w:pStyle w:val="Compact"/>
              <w:jc w:val="right"/>
            </w:pPr>
            <w:r>
              <w:t xml:space="preserve">7</w:t>
            </w:r>
          </w:p>
        </w:tc>
        <w:tc>
          <w:tcPr/>
          <w:p>
            <w:pPr>
              <w:pStyle w:val="Compact"/>
              <w:jc w:val="right"/>
            </w:pPr>
            <w:r>
              <w:t xml:space="preserve">4</w:t>
            </w:r>
          </w:p>
        </w:tc>
      </w:tr>
      <w:tr>
        <w:tc>
          <w:tcPr/>
          <w:p>
            <w:pPr>
              <w:pStyle w:val="Compact"/>
              <w:jc w:val="left"/>
            </w:pPr>
            <w:r>
              <w:t xml:space="preserve">Vittoria home</w:t>
            </w:r>
          </w:p>
        </w:tc>
        <w:tc>
          <w:tcPr/>
          <w:p>
            <w:pPr>
              <w:pStyle w:val="Compact"/>
              <w:jc w:val="right"/>
            </w:pPr>
            <w:r>
              <w:t xml:space="preserve">3</w:t>
            </w:r>
          </w:p>
        </w:tc>
        <w:tc>
          <w:tcPr/>
          <w:p>
            <w:pPr>
              <w:pStyle w:val="Compact"/>
              <w:jc w:val="right"/>
            </w:pPr>
            <w:r>
              <w:t xml:space="preserve">5</w:t>
            </w:r>
          </w:p>
        </w:tc>
        <w:tc>
          <w:tcPr/>
          <w:p>
            <w:pPr>
              <w:pStyle w:val="Compact"/>
              <w:jc w:val="right"/>
            </w:pPr>
            <w:r>
              <w:t xml:space="preserve">21</w:t>
            </w:r>
          </w:p>
        </w:tc>
      </w:tr>
    </w:tbl>
    <w:p>
      <w:pPr>
        <w:pStyle w:val="SourceCode"/>
      </w:pPr>
      <w:r>
        <w:rPr>
          <w:rStyle w:val="VerbatimChar"/>
        </w:rPr>
        <w:t xml:space="preserve">Accuratezza risultato (%): 57.8 </w:t>
      </w:r>
    </w:p>
    <w:p>
      <w:pPr>
        <w:pStyle w:val="FirstParagraph"/>
      </w:pPr>
      <w:r>
        <w:t xml:space="preserve">La matrice di confusione mostra la corrispondenza tra esito previsto e osservato per</w:t>
      </w:r>
      <w:r>
        <w:t xml:space="preserve"> </w:t>
      </w:r>
      <w:r>
        <w:t xml:space="preserve">le tre categorie: vittoria home, pareggio e vittoria away. Il modello raggiunge</w:t>
      </w:r>
      <w:r>
        <w:t xml:space="preserve"> </w:t>
      </w:r>
      <w:r>
        <w:t xml:space="preserve">un’accuratezza complessiva del 57.8%, classificando correttamente 21 vittorie home</w:t>
      </w:r>
      <w:r>
        <w:t xml:space="preserve"> </w:t>
      </w:r>
      <w:r>
        <w:t xml:space="preserve">su 29, 7 vittorie away su 20 e 9 pareggi su 15. La categoria meglio predetta è</w:t>
      </w:r>
      <w:r>
        <w:t xml:space="preserve"> </w:t>
      </w:r>
      <w:r>
        <w:t xml:space="preserve">la vittoria home, mentre pareggio e vittoria away presentano una maggiore</w:t>
      </w:r>
      <w:r>
        <w:t xml:space="preserve"> </w:t>
      </w:r>
      <w:r>
        <w:t xml:space="preserve">sovrapposizione, riflettendo la naturale difficoltà nel distinguere esiti incerti.</w:t>
      </w:r>
    </w:p>
    <w:bookmarkEnd w:id="60"/>
    <w:bookmarkEnd w:id="61"/>
    <w:bookmarkStart w:id="73" w:name="confronto-con-random-forest"/>
    <w:p>
      <w:pPr>
        <w:pStyle w:val="Heading1"/>
      </w:pPr>
      <w:r>
        <w:t xml:space="preserve">7. Confronto con Random Forest</w:t>
      </w:r>
    </w:p>
    <w:bookmarkStart w:id="62" w:name="motivazione"/>
    <w:p>
      <w:pPr>
        <w:pStyle w:val="Heading2"/>
      </w:pPr>
      <w:r>
        <w:t xml:space="preserve">7.1 Motivazione</w:t>
      </w:r>
    </w:p>
    <w:p>
      <w:pPr>
        <w:pStyle w:val="FirstParagraph"/>
      </w:pPr>
      <w:r>
        <w:t xml:space="preserve">La regressione lineare assume che la relazione tra i predittori e la risposta sia</w:t>
      </w:r>
      <w:r>
        <w:t xml:space="preserve"> </w:t>
      </w:r>
      <w:r>
        <w:t xml:space="preserve">additiva e lineare. La Random Forest (RF) è un metodo d’insieme non parametrico che</w:t>
      </w:r>
      <w:r>
        <w:t xml:space="preserve"> </w:t>
      </w:r>
      <w:r>
        <w:t xml:space="preserve">combina centinaia di alberi decisionali, ciascuno stimato su un campione bootstrap —</w:t>
      </w:r>
      <w:r>
        <w:t xml:space="preserve"> </w:t>
      </w:r>
      <w:r>
        <w:t xml:space="preserve">ovvero un sottoinsieme casuale con reimmissione delle osservazioni originali — e su</w:t>
      </w:r>
      <w:r>
        <w:t xml:space="preserve"> </w:t>
      </w:r>
      <w:r>
        <w:t xml:space="preserve">un sottoinsieme casuale delle variabili ad ogni nodo. La combinazione di questi due</w:t>
      </w:r>
      <w:r>
        <w:t xml:space="preserve"> </w:t>
      </w:r>
      <w:r>
        <w:t xml:space="preserve">meccanismi di casualità riduce la varianza delle previsioni rispetto al singolo albero,</w:t>
      </w:r>
      <w:r>
        <w:t xml:space="preserve"> </w:t>
      </w:r>
      <w:r>
        <w:t xml:space="preserve">limitando il rischio di overfitting. La previsione finale è ottenuta mediando le</w:t>
      </w:r>
      <w:r>
        <w:t xml:space="preserve"> </w:t>
      </w:r>
      <w:r>
        <w:t xml:space="preserve">stime dei singoli alberi. La RF è in grado di catturare interazioni complesse e non</w:t>
      </w:r>
      <w:r>
        <w:t xml:space="preserve"> </w:t>
      </w:r>
      <w:r>
        <w:t xml:space="preserve">linearità senza alcuna assunzione di forma funzionale.</w:t>
      </w:r>
    </w:p>
    <w:bookmarkEnd w:id="62"/>
    <w:bookmarkStart w:id="63" w:name="setup-e-stima-della-random-forest"/>
    <w:p>
      <w:pPr>
        <w:pStyle w:val="Heading2"/>
      </w:pPr>
      <w:r>
        <w:t xml:space="preserve">7.2 Setup e stima della Random Forest</w:t>
      </w:r>
    </w:p>
    <w:p>
      <w:pPr>
        <w:pStyle w:val="FirstParagraph"/>
      </w:pPr>
      <w:r>
        <w:t xml:space="preserve">La RF viene stimata sullo stesso dataset e con le stesse variabili del modello lineare finale, per rendere il confronto diretto.</w:t>
      </w:r>
    </w:p>
    <w:p>
      <w:pPr>
        <w:pStyle w:val="SourceCode"/>
      </w:pPr>
      <w:r>
        <w:br/>
      </w:r>
      <w:r>
        <w:rPr>
          <w:rStyle w:val="VerbatimChar"/>
        </w:rPr>
        <w:t xml:space="preserve">Call:</w:t>
      </w:r>
      <w:r>
        <w:br/>
      </w:r>
      <w:r>
        <w:rPr>
          <w:rStyle w:val="VerbatimChar"/>
        </w:rPr>
        <w:t xml:space="preserve"> randomForest(formula = goal_difference ~ pre_match_ppg_positive +      implied_probability_difference + knockout, data = df_rf,      ntree = 500, mtry = 2, importance = TRUE) </w:t>
      </w:r>
      <w:r>
        <w:br/>
      </w:r>
      <w:r>
        <w:rPr>
          <w:rStyle w:val="VerbatimChar"/>
        </w:rPr>
        <w:t xml:space="preserve">               Type of random forest: regression</w:t>
      </w:r>
      <w:r>
        <w:br/>
      </w:r>
      <w:r>
        <w:rPr>
          <w:rStyle w:val="VerbatimChar"/>
        </w:rPr>
        <w:t xml:space="preserve">                     Number of trees: 500</w:t>
      </w:r>
      <w:r>
        <w:br/>
      </w:r>
      <w:r>
        <w:rPr>
          <w:rStyle w:val="VerbatimChar"/>
        </w:rPr>
        <w:t xml:space="preserve">No. of variables tried at each split: 2</w:t>
      </w:r>
      <w:r>
        <w:br/>
      </w:r>
      <w:r>
        <w:br/>
      </w:r>
      <w:r>
        <w:rPr>
          <w:rStyle w:val="VerbatimChar"/>
        </w:rPr>
        <w:t xml:space="preserve">          Mean of squared residuals: 2.728608</w:t>
      </w:r>
      <w:r>
        <w:br/>
      </w:r>
      <w:r>
        <w:rPr>
          <w:rStyle w:val="VerbatimChar"/>
        </w:rPr>
        <w:t xml:space="preserve">                    % Var explained: 19.87</w:t>
      </w:r>
    </w:p>
    <w:p>
      <w:pPr>
        <w:pStyle w:val="FirstParagraph"/>
      </w:pPr>
      <w:r>
        <w:t xml:space="preserve">L’output mostra le principali caratteristiche del modello stimato: 500 alberi decisionali,</w:t>
      </w:r>
      <w:r>
        <w:t xml:space="preserve"> </w:t>
      </w:r>
      <w:r>
        <w:t xml:space="preserve">con 2 variabili candidate ad ogni nodo (mtry = 2) su 3 totali. La varianza spiegata</w:t>
      </w:r>
      <w:r>
        <w:t xml:space="preserve"> </w:t>
      </w:r>
      <w:r>
        <w:t xml:space="preserve">(% Var explained) è pari al 19.87%, stimata tramite il meccanismo out-of-bag (OOB):</w:t>
      </w:r>
      <w:r>
        <w:t xml:space="preserve"> </w:t>
      </w:r>
      <w:r>
        <w:t xml:space="preserve">per ogni osservazione, la previsione è ottenuta mediando solo gli alberi che non</w:t>
      </w:r>
      <w:r>
        <w:t xml:space="preserve"> </w:t>
      </w:r>
      <w:r>
        <w:t xml:space="preserve">l’hanno inclusa nel proprio campione bootstrap, fornendo così una stima della capacità</w:t>
      </w:r>
      <w:r>
        <w:t xml:space="preserve"> </w:t>
      </w:r>
      <w:r>
        <w:t xml:space="preserve">predittiva su dati non visti senza necessità di una procedura di cross-validation</w:t>
      </w:r>
      <w:r>
        <w:t xml:space="preserve"> </w:t>
      </w:r>
      <w:r>
        <w:t xml:space="preserve">separata. Il MSE OOB risultante è 2.729, in linea con quello ottenuto dalla regressione</w:t>
      </w:r>
      <w:r>
        <w:t xml:space="preserve"> </w:t>
      </w:r>
      <w:r>
        <w:t xml:space="preserve">lineare, suggerendo che la maggiore flessibilità della RF non porta a un guadagno</w:t>
      </w:r>
      <w:r>
        <w:t xml:space="preserve"> </w:t>
      </w:r>
      <w:r>
        <w:t xml:space="preserve">predittivo rilevante su questi dati.</w:t>
      </w:r>
    </w:p>
    <w:bookmarkEnd w:id="63"/>
    <w:bookmarkStart w:id="67" w:name="importanza-delle-variabili"/>
    <w:p>
      <w:pPr>
        <w:pStyle w:val="Heading2"/>
      </w:pPr>
      <w:r>
        <w:t xml:space="preserve">7.3 Importanza delle variabili</w:t>
      </w:r>
    </w:p>
    <w:p>
      <w:pPr>
        <w:pStyle w:val="CaptionedFigure"/>
      </w:pPr>
      <w:r>
        <w:drawing>
          <wp:inline>
            <wp:extent cx="5334000" cy="2370666"/>
            <wp:effectExtent b="0" l="0" r="0" t="0"/>
            <wp:docPr descr="Importanza delle variabili nella Random Forest (riduzione MSE OOB)" title="" id="65" name="Picture"/>
            <a:graphic>
              <a:graphicData uri="http://schemas.openxmlformats.org/drawingml/2006/picture">
                <pic:pic>
                  <pic:nvPicPr>
                    <pic:cNvPr descr="analisi_world.cup.2022_report_files/figure-docx/rf-importance-1.png" id="66" name="Picture"/>
                    <pic:cNvPicPr>
                      <a:picLocks noChangeArrowheads="1" noChangeAspect="1"/>
                    </pic:cNvPicPr>
                  </pic:nvPicPr>
                  <pic:blipFill>
                    <a:blip r:embed="rId64"/>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Importanza delle variabili nella Random Forest (riduzione MSE OOB)</w:t>
      </w:r>
    </w:p>
    <w:p>
      <w:pPr>
        <w:pStyle w:val="BodyText"/>
      </w:pPr>
      <w:r>
        <w:t xml:space="preserve">Il grafico mostra l’importanza delle variabili nella Random Forest, misurata tramite</w:t>
      </w:r>
      <w:r>
        <w:t xml:space="preserve"> </w:t>
      </w:r>
      <w:r>
        <w:t xml:space="preserve">la riduzione percentuale del MSE OOB (%IncMSE): per ciascun predittore, si misura</w:t>
      </w:r>
      <w:r>
        <w:t xml:space="preserve"> </w:t>
      </w:r>
      <w:r>
        <w:t xml:space="preserve">di quanto peggiora l’errore di previsione out-of-bag quando i suoi valori vengono</w:t>
      </w:r>
      <w:r>
        <w:t xml:space="preserve"> </w:t>
      </w:r>
      <w:r>
        <w:t xml:space="preserve">permutati casualmente, annullandone il contributo informativo. Un valore elevato</w:t>
      </w:r>
      <w:r>
        <w:t xml:space="preserve"> </w:t>
      </w:r>
      <w:r>
        <w:t xml:space="preserve">indica che la variabile è rilevante per la previsione.</w:t>
      </w:r>
    </w:p>
    <w:p>
      <w:pPr>
        <w:pStyle w:val="BodyText"/>
      </w:pPr>
      <w:r>
        <w:t xml:space="preserve">I risultati sono coerenti con quelli della regressione lineare:</w:t>
      </w:r>
      <w:r>
        <w:t xml:space="preserve"> </w:t>
      </w:r>
      <w:r>
        <w:rPr>
          <w:rStyle w:val="VerbatimChar"/>
        </w:rPr>
        <w:t xml:space="preserve">implied_probability_difference</w:t>
      </w:r>
      <w:r>
        <w:t xml:space="preserve"> </w:t>
      </w:r>
      <w:r>
        <w:t xml:space="preserve">si conferma di gran lunga il predittore più</w:t>
      </w:r>
      <w:r>
        <w:t xml:space="preserve"> </w:t>
      </w:r>
      <w:r>
        <w:t xml:space="preserve">importante (circa 27), seguita da</w:t>
      </w:r>
      <w:r>
        <w:t xml:space="preserve"> </w:t>
      </w:r>
      <w:r>
        <w:rPr>
          <w:rStyle w:val="VerbatimChar"/>
        </w:rPr>
        <w:t xml:space="preserve">knockout</w:t>
      </w:r>
      <w:r>
        <w:t xml:space="preserve"> </w:t>
      </w:r>
      <w:r>
        <w:t xml:space="preserve">(circa 14), mentre</w:t>
      </w:r>
      <w:r>
        <w:t xml:space="preserve"> </w:t>
      </w:r>
      <w:r>
        <w:rPr>
          <w:rStyle w:val="VerbatimChar"/>
        </w:rPr>
        <w:t xml:space="preserve">pre_match_ppg_positive</w:t>
      </w:r>
      <w:r>
        <w:t xml:space="preserve"> </w:t>
      </w:r>
      <w:r>
        <w:t xml:space="preserve">contribuisce in misura marginale. Questo rafforza</w:t>
      </w:r>
      <w:r>
        <w:t xml:space="preserve"> </w:t>
      </w:r>
      <w:r>
        <w:t xml:space="preserve">l’interpretazione che il differenziale di probabilità implicita sintetizzi</w:t>
      </w:r>
      <w:r>
        <w:t xml:space="preserve"> </w:t>
      </w:r>
      <w:r>
        <w:t xml:space="preserve">efficacemente la forza relativa delle squadre, indipendentemente dall’approccio</w:t>
      </w:r>
      <w:r>
        <w:t xml:space="preserve"> </w:t>
      </w:r>
      <w:r>
        <w:t xml:space="preserve">modellistico adottato.</w:t>
      </w:r>
    </w:p>
    <w:p>
      <w:pPr>
        <w:pStyle w:val="TableCaption"/>
      </w:pPr>
      <w:r>
        <w:t xml:space="preserve">Importanza delle variabili nella Random Forest</w:t>
      </w:r>
    </w:p>
    <w:tbl>
      <w:tblPr>
        <w:tblStyle w:val="Table"/>
        <w:tblW w:type="auto" w:w="0"/>
        <w:tblLook w:firstRow="1" w:lastRow="0" w:firstColumn="0" w:lastColumn="0" w:noHBand="0" w:noVBand="0" w:val="0020"/>
        <w:tblCaption w:val="Importanza delle variabili nella Random Forest"/>
      </w:tblPr>
      <w:tblGrid>
        <w:gridCol w:w="2640"/>
        <w:gridCol w:w="2640"/>
        <w:gridCol w:w="2640"/>
      </w:tblGrid>
      <w:tr>
        <w:trPr>
          <w:tblHeader w:val="on"/>
        </w:trPr>
        <w:tc>
          <w:tcPr/>
          <w:p>
            <w:pPr>
              <w:pStyle w:val="Compact"/>
            </w:pPr>
          </w:p>
        </w:tc>
        <w:tc>
          <w:tcPr/>
          <w:p>
            <w:pPr>
              <w:pStyle w:val="Compact"/>
              <w:jc w:val="right"/>
            </w:pPr>
            <w:r>
              <w:t xml:space="preserve">%IncMSE</w:t>
            </w:r>
          </w:p>
        </w:tc>
        <w:tc>
          <w:tcPr/>
          <w:p>
            <w:pPr>
              <w:pStyle w:val="Compact"/>
              <w:jc w:val="right"/>
            </w:pPr>
            <w:r>
              <w:t xml:space="preserve">IncNodePurity</w:t>
            </w:r>
          </w:p>
        </w:tc>
      </w:tr>
      <w:tr>
        <w:tc>
          <w:tcPr/>
          <w:p>
            <w:pPr>
              <w:pStyle w:val="Compact"/>
              <w:jc w:val="left"/>
            </w:pPr>
            <w:r>
              <w:t xml:space="preserve">pre_match_ppg_positive</w:t>
            </w:r>
          </w:p>
        </w:tc>
        <w:tc>
          <w:tcPr/>
          <w:p>
            <w:pPr>
              <w:pStyle w:val="Compact"/>
              <w:jc w:val="right"/>
            </w:pPr>
            <w:r>
              <w:t xml:space="preserve">-0.9461384</w:t>
            </w:r>
          </w:p>
        </w:tc>
        <w:tc>
          <w:tcPr/>
          <w:p>
            <w:pPr>
              <w:pStyle w:val="Compact"/>
              <w:jc w:val="right"/>
            </w:pPr>
            <w:r>
              <w:t xml:space="preserve">8.3678</w:t>
            </w:r>
          </w:p>
        </w:tc>
      </w:tr>
      <w:tr>
        <w:tc>
          <w:tcPr/>
          <w:p>
            <w:pPr>
              <w:pStyle w:val="Compact"/>
              <w:jc w:val="left"/>
            </w:pPr>
            <w:r>
              <w:t xml:space="preserve">implied_probability_difference</w:t>
            </w:r>
          </w:p>
        </w:tc>
        <w:tc>
          <w:tcPr/>
          <w:p>
            <w:pPr>
              <w:pStyle w:val="Compact"/>
              <w:jc w:val="right"/>
            </w:pPr>
            <w:r>
              <w:t xml:space="preserve">27.3670584</w:t>
            </w:r>
          </w:p>
        </w:tc>
        <w:tc>
          <w:tcPr/>
          <w:p>
            <w:pPr>
              <w:pStyle w:val="Compact"/>
              <w:jc w:val="right"/>
            </w:pPr>
            <w:r>
              <w:t xml:space="preserve">130.8785</w:t>
            </w:r>
          </w:p>
        </w:tc>
      </w:tr>
      <w:tr>
        <w:tc>
          <w:tcPr/>
          <w:p>
            <w:pPr>
              <w:pStyle w:val="Compact"/>
              <w:jc w:val="left"/>
            </w:pPr>
            <w:r>
              <w:t xml:space="preserve">knockout</w:t>
            </w:r>
          </w:p>
        </w:tc>
        <w:tc>
          <w:tcPr/>
          <w:p>
            <w:pPr>
              <w:pStyle w:val="Compact"/>
              <w:jc w:val="right"/>
            </w:pPr>
            <w:r>
              <w:t xml:space="preserve">13.5926788</w:t>
            </w:r>
          </w:p>
        </w:tc>
        <w:tc>
          <w:tcPr/>
          <w:p>
            <w:pPr>
              <w:pStyle w:val="Compact"/>
              <w:jc w:val="right"/>
            </w:pPr>
            <w:r>
              <w:t xml:space="preserve">18.5159</w:t>
            </w:r>
          </w:p>
        </w:tc>
      </w:tr>
    </w:tbl>
    <w:p>
      <w:pPr>
        <w:pStyle w:val="BodyText"/>
      </w:pPr>
      <w:r>
        <w:t xml:space="preserve">La</w:t>
      </w:r>
      <w:r>
        <w:t xml:space="preserve"> </w:t>
      </w:r>
      <w:r>
        <w:rPr>
          <w:rStyle w:val="VerbatimChar"/>
        </w:rPr>
        <w:t xml:space="preserve">%IncMSE</w:t>
      </w:r>
      <w:r>
        <w:t xml:space="preserve"> </w:t>
      </w:r>
      <w:r>
        <w:t xml:space="preserve">(percentuale di aumento del MSE OOB quando la variabile viene permutata casualmente) misura il contributo di ciascun predittore. Una variabile irrilevante avrebbe</w:t>
      </w:r>
      <w:r>
        <w:t xml:space="preserve"> </w:t>
      </w:r>
      <w:r>
        <w:rPr>
          <w:rStyle w:val="VerbatimChar"/>
        </w:rPr>
        <w:t xml:space="preserve">%IncMSE ≈ 0</w:t>
      </w:r>
      <w:r>
        <w:t xml:space="preserve">. I risultati confermano che</w:t>
      </w:r>
      <w:r>
        <w:t xml:space="preserve"> </w:t>
      </w:r>
      <w:r>
        <w:rPr>
          <w:rStyle w:val="VerbatimChar"/>
        </w:rPr>
        <w:t xml:space="preserve">implied_probability_difference</w:t>
      </w:r>
      <w:r>
        <w:t xml:space="preserve"> </w:t>
      </w:r>
      <w:r>
        <w:t xml:space="preserve">è il predittore più importante, in linea con le evidenze del modello lineare.</w:t>
      </w:r>
    </w:p>
    <w:bookmarkEnd w:id="67"/>
    <w:bookmarkStart w:id="71" w:name="confronto-predittivo-oob-vs-cv-lineare"/>
    <w:p>
      <w:pPr>
        <w:pStyle w:val="Heading2"/>
      </w:pPr>
      <w:r>
        <w:t xml:space="preserve">7.4 Confronto predittivo (OOB vs CV lineare)</w:t>
      </w:r>
    </w:p>
    <w:p>
      <w:pPr>
        <w:pStyle w:val="TableCaption"/>
      </w:pPr>
      <w:r>
        <w:t xml:space="preserve">Confronto predittivo: Regressione Lineare vs Random Forest</w:t>
      </w:r>
    </w:p>
    <w:tbl>
      <w:tblPr>
        <w:tblStyle w:val="Table"/>
        <w:tblW w:type="auto" w:w="0"/>
        <w:tblLook w:firstRow="1" w:lastRow="0" w:firstColumn="0" w:lastColumn="0" w:noHBand="0" w:noVBand="0" w:val="0020"/>
        <w:tblCaption w:val="Confronto predittivo: Regressione Lineare vs Random Forest"/>
      </w:tblPr>
      <w:tblGrid>
        <w:gridCol w:w="2640"/>
        <w:gridCol w:w="2640"/>
        <w:gridCol w:w="2640"/>
      </w:tblGrid>
      <w:tr>
        <w:trPr>
          <w:tblHeader w:val="on"/>
        </w:trPr>
        <w:tc>
          <w:tcPr/>
          <w:p>
            <w:pPr>
              <w:pStyle w:val="Compact"/>
              <w:jc w:val="left"/>
            </w:pPr>
            <w:r>
              <w:t xml:space="preserve">Modello</w:t>
            </w:r>
          </w:p>
        </w:tc>
        <w:tc>
          <w:tcPr/>
          <w:p>
            <w:pPr>
              <w:pStyle w:val="Compact"/>
              <w:jc w:val="right"/>
            </w:pPr>
            <w:r>
              <w:t xml:space="preserve">MSE</w:t>
            </w:r>
          </w:p>
        </w:tc>
        <w:tc>
          <w:tcPr/>
          <w:p>
            <w:pPr>
              <w:pStyle w:val="Compact"/>
              <w:jc w:val="right"/>
            </w:pPr>
            <w:r>
              <w:t xml:space="preserve">RMSE</w:t>
            </w:r>
          </w:p>
        </w:tc>
      </w:tr>
      <w:tr>
        <w:tc>
          <w:tcPr/>
          <w:p>
            <w:pPr>
              <w:pStyle w:val="Compact"/>
              <w:jc w:val="left"/>
            </w:pPr>
            <w:r>
              <w:t xml:space="preserve">Regressione lineare — in-sample</w:t>
            </w:r>
          </w:p>
        </w:tc>
        <w:tc>
          <w:tcPr/>
          <w:p>
            <w:pPr>
              <w:pStyle w:val="Compact"/>
              <w:jc w:val="right"/>
            </w:pPr>
            <w:r>
              <w:t xml:space="preserve">2.3232</w:t>
            </w:r>
          </w:p>
        </w:tc>
        <w:tc>
          <w:tcPr/>
          <w:p>
            <w:pPr>
              <w:pStyle w:val="Compact"/>
              <w:jc w:val="right"/>
            </w:pPr>
            <w:r>
              <w:t xml:space="preserve">1.5242</w:t>
            </w:r>
          </w:p>
        </w:tc>
      </w:tr>
      <w:tr>
        <w:tc>
          <w:tcPr/>
          <w:p>
            <w:pPr>
              <w:pStyle w:val="Compact"/>
              <w:jc w:val="left"/>
            </w:pPr>
            <w:r>
              <w:t xml:space="preserve">Regressione lineare — LOOCV</w:t>
            </w:r>
          </w:p>
        </w:tc>
        <w:tc>
          <w:tcPr/>
          <w:p>
            <w:pPr>
              <w:pStyle w:val="Compact"/>
              <w:jc w:val="right"/>
            </w:pPr>
            <w:r>
              <w:t xml:space="preserve">2.6542</w:t>
            </w:r>
          </w:p>
        </w:tc>
        <w:tc>
          <w:tcPr/>
          <w:p>
            <w:pPr>
              <w:pStyle w:val="Compact"/>
              <w:jc w:val="right"/>
            </w:pPr>
            <w:r>
              <w:t xml:space="preserve">1.6292</w:t>
            </w:r>
          </w:p>
        </w:tc>
      </w:tr>
      <w:tr>
        <w:tc>
          <w:tcPr/>
          <w:p>
            <w:pPr>
              <w:pStyle w:val="Compact"/>
              <w:jc w:val="left"/>
            </w:pPr>
            <w:r>
              <w:t xml:space="preserve">Regressione lineare — 10-fold CV</w:t>
            </w:r>
          </w:p>
        </w:tc>
        <w:tc>
          <w:tcPr/>
          <w:p>
            <w:pPr>
              <w:pStyle w:val="Compact"/>
              <w:jc w:val="right"/>
            </w:pPr>
            <w:r>
              <w:t xml:space="preserve">2.8905</w:t>
            </w:r>
          </w:p>
        </w:tc>
        <w:tc>
          <w:tcPr/>
          <w:p>
            <w:pPr>
              <w:pStyle w:val="Compact"/>
              <w:jc w:val="right"/>
            </w:pPr>
            <w:r>
              <w:t xml:space="preserve">1.7001</w:t>
            </w:r>
          </w:p>
        </w:tc>
      </w:tr>
      <w:tr>
        <w:tc>
          <w:tcPr/>
          <w:p>
            <w:pPr>
              <w:pStyle w:val="Compact"/>
              <w:jc w:val="left"/>
            </w:pPr>
            <w:r>
              <w:t xml:space="preserve">Random Forest — OOB</w:t>
            </w:r>
          </w:p>
        </w:tc>
        <w:tc>
          <w:tcPr/>
          <w:p>
            <w:pPr>
              <w:pStyle w:val="Compact"/>
              <w:jc w:val="right"/>
            </w:pPr>
            <w:r>
              <w:t xml:space="preserve">2.7286</w:t>
            </w:r>
          </w:p>
        </w:tc>
        <w:tc>
          <w:tcPr/>
          <w:p>
            <w:pPr>
              <w:pStyle w:val="Compact"/>
              <w:jc w:val="right"/>
            </w:pPr>
            <w:r>
              <w:t xml:space="preserve">1.6518</w:t>
            </w:r>
          </w:p>
        </w:tc>
      </w:tr>
      <w:tr>
        <w:tc>
          <w:tcPr/>
          <w:p>
            <w:pPr>
              <w:pStyle w:val="Compact"/>
              <w:jc w:val="left"/>
            </w:pPr>
            <w:r>
              <w:t xml:space="preserve">Random Forest — 10-fold CV</w:t>
            </w:r>
          </w:p>
        </w:tc>
        <w:tc>
          <w:tcPr/>
          <w:p>
            <w:pPr>
              <w:pStyle w:val="Compact"/>
              <w:jc w:val="right"/>
            </w:pPr>
            <w:r>
              <w:t xml:space="preserve">2.8789</w:t>
            </w:r>
          </w:p>
        </w:tc>
        <w:tc>
          <w:tcPr/>
          <w:p>
            <w:pPr>
              <w:pStyle w:val="Compact"/>
              <w:jc w:val="right"/>
            </w:pPr>
            <w:r>
              <w:t xml:space="preserve">1.6967</w:t>
            </w:r>
          </w:p>
        </w:tc>
      </w:tr>
    </w:tbl>
    <w:p>
      <w:pPr>
        <w:pStyle w:val="BodyText"/>
      </w:pPr>
      <w:r>
        <w:t xml:space="preserve">Il modello di regressione lineare ottiene un MSE in-sample pari a 2.3232 (RMSE = 1.5242), che rappresenta un limite inferiore delle prestazioni attese su nuovi dati. Le stime out-of-sample confermano una lieve ma attesa degradazione: il LOOCV produce un MSE di 2.6542 (RMSE = 1.6292), mentre la 10-fold CV sale a 2.8905 (RMSE = 1.7001), segnalando una moderata capacità di generalizzazione.</w:t>
      </w:r>
    </w:p>
    <w:p>
      <w:pPr>
        <w:pStyle w:val="BodyText"/>
      </w:pPr>
      <w:r>
        <w:t xml:space="preserve">La Random Forest, stimata sugli stessi predittori, non evidenzia un vantaggio predittivo rispetto al modello lineare: l’errore OOB è pari a MSE = 2.7286 (RMSE = 1.6518) e la 10-fold CV porta a MSE = 2.8789 (RMSE = 1.6967). Tali valori sono sostanzialmente comparabili con quelli della regressione lineare e, in nessun caso, ne mostrano un miglioramento sostanziale.</w:t>
      </w:r>
    </w:p>
    <w:p>
      <w:pPr>
        <w:pStyle w:val="BodyText"/>
      </w:pPr>
      <w:r>
        <w:t xml:space="preserve">L’assenza di guadagno da un metodo non parametrico e flessibile come la Random Forest suggerisce che le relazioni tra i predittori e la variabile risposta sono sufficientemente ben catturate dalla struttura lineare. Non vi è quindi evidenza di non linearità o interazioni significative non modellate dalla regressione. La ridotta dimensione campionaria (n = 64) può ulteriormente limitare il vantaggio comparativo di metodi d’insieme, che tendono a esprimere il proprio potenziale in campioni più ampi. In sintesi, il modello lineare risulta preferibile in termini di parsimonia e interpretabilità, a parità di capacità predittiva out-of-sample.</w:t>
      </w:r>
    </w:p>
    <w:p>
      <w:pPr>
        <w:pStyle w:val="CaptionedFigure"/>
      </w:pPr>
      <w:r>
        <w:drawing>
          <wp:inline>
            <wp:extent cx="4620126" cy="3696101"/>
            <wp:effectExtent b="0" l="0" r="0" t="0"/>
            <wp:docPr descr="Confronto: previsioni OLS vs Random Forest (OOB) rispetto all’osservato" title="" id="69" name="Picture"/>
            <a:graphic>
              <a:graphicData uri="http://schemas.openxmlformats.org/drawingml/2006/picture">
                <pic:pic>
                  <pic:nvPicPr>
                    <pic:cNvPr descr="analisi_world.cup.2022_report_files/figure-docx/rf-scatter-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Confronto: previsioni OLS vs Random Forest (OOB) rispetto all’osservato</w:t>
      </w:r>
    </w:p>
    <w:p>
      <w:pPr>
        <w:pStyle w:val="BodyText"/>
      </w:pPr>
      <w:r>
        <w:t xml:space="preserve">Il grafico a dispersione confronta visivamente le previsioni dei due modelli rispetto ai valori osservati della differenza reti. Ciascun punto rappresenta una partita: i cerchi blu corrispondono alle previsioni OLS, i triangoli rossi alle previsioni OOB della Random Forest. La linea tratteggiata indica la previsione perfetta (previsto = osservato).</w:t>
      </w:r>
    </w:p>
    <w:p>
      <w:pPr>
        <w:pStyle w:val="BodyText"/>
      </w:pPr>
      <w:r>
        <w:t xml:space="preserve">Entrambi i modelli mostrano un comportamento simile: le previsioni si concentrano in un intervallo relativamente ristretto, mentre i valori osservati si distribuiscono su un range molto più ampio (da circa −2 a 7.5). Questo fenomeno, noto come regressione verso la media, è fisiologico nei modelli predittivi applicati a fenomeni ad alta variabilità intrinseca come i risultati calcistici: il modello cattura la componente sistematica del risultato, ma non può prevedere le fluttuazioni casuali legate agli eventi di gara.</w:t>
      </w:r>
    </w:p>
    <w:p>
      <w:pPr>
        <w:pStyle w:val="BodyText"/>
      </w:pPr>
      <w:r>
        <w:t xml:space="preserve">La dispersione dei punti attorno alla bisettrice è ampia e sostanzialmente analoga per i due metodo, confermando quanto già emerso dalla tabella degli errori: i due approcci non si distinguono in termini di accuratezza predittiva. In particolare, la Random Forest non mostra una maggiore capacità di avvicinarsi alla previsione perfetta nei casi estremi (partite con scarto elevato), dove entrambi i modelli tendono a sottostimare sistematicamente l’esito. Tale pattern è coerente con la natura imprevedibile degli eventi rari nel calcio e con la limitata dimensione campionaria a disposizione.</w:t>
      </w:r>
    </w:p>
    <w:bookmarkEnd w:id="71"/>
    <w:bookmarkStart w:id="72" w:name="interpretazione-del-confronto"/>
    <w:p>
      <w:pPr>
        <w:pStyle w:val="Heading2"/>
      </w:pPr>
      <w:r>
        <w:t xml:space="preserve">7.5 Interpretazione del confronto</w:t>
      </w:r>
    </w:p>
    <w:p>
      <w:pPr>
        <w:pStyle w:val="FirstParagraph"/>
      </w:pPr>
      <w:r>
        <w:t xml:space="preserve">Il confronto tra i due approcci porta a conclusioni chiare. L’MSE out-of-sample della regressione lineare (LOOCV e 10-fold) e quello della Random Forest (OOB e 10-fold) risultano nello stesso ordine di grandezza. Se la RF mostrasse un vantaggio sostanziale, ciò indicherebbe non linearità o interazioni significative tra i predittori. La sostanziale equivalenza dei due approcci è invece attribuibile a due fattori complementari:</w:t>
      </w:r>
    </w:p>
    <w:p>
      <w:pPr>
        <w:pStyle w:val="Compact"/>
        <w:numPr>
          <w:ilvl w:val="0"/>
          <w:numId w:val="1002"/>
        </w:numPr>
      </w:pPr>
      <w:r>
        <w:rPr>
          <w:b/>
          <w:bCs/>
        </w:rPr>
        <w:t xml:space="preserve">Linearità del fenomeno</w:t>
      </w:r>
      <w:r>
        <w:t xml:space="preserve">: la relazione tra la forza relativa delle squadre (sintetizzata dalle probabilità implicite) e lo scarto di gol è approssimativamente lineare nel range osservato.</w:t>
      </w:r>
    </w:p>
    <w:p>
      <w:pPr>
        <w:pStyle w:val="Compact"/>
        <w:numPr>
          <w:ilvl w:val="0"/>
          <w:numId w:val="1002"/>
        </w:numPr>
      </w:pPr>
      <w:r>
        <w:rPr>
          <w:b/>
          <w:bCs/>
        </w:rPr>
        <w:t xml:space="preserve">Vincolo campionario</w:t>
      </w:r>
      <w:r>
        <w:t xml:space="preserve">: con n=64, la RF fatica a stimare in modo stabile relazioni complesse; la variance del metodo di ensemble è elevata quando il campione è ridotto, e il vantaggio in bias non compensa.</w:t>
      </w:r>
    </w:p>
    <w:p>
      <w:pPr>
        <w:pStyle w:val="FirstParagraph"/>
      </w:pPr>
      <w:r>
        <w:t xml:space="preserve">La scelta del modello lineare è quindi giustificata non solo per ragioni di interpretabilità — i coefficienti OLS hanno un significato diretto — ma anche per ragioni predittive: la maggiore complessità della RF non produce guadagni apprezzabili su questo dataset.</w:t>
      </w:r>
    </w:p>
    <w:bookmarkEnd w:id="72"/>
    <w:bookmarkEnd w:id="73"/>
    <w:bookmarkStart w:id="74" w:name="conclusioni"/>
    <w:p>
      <w:pPr>
        <w:pStyle w:val="Heading1"/>
      </w:pPr>
      <w:r>
        <w:t xml:space="preserve">8. Conclusioni</w:t>
      </w:r>
    </w:p>
    <w:p>
      <w:pPr>
        <w:pStyle w:val="FirstParagraph"/>
      </w:pPr>
      <w:r>
        <w:t xml:space="preserve">L’analisi ha costruito e validato un modello di regressione lineare multipla per la differenza reti nelle 64 partite del Mondiale FIFA 2022, incorporando le indicazioni metodologiche della docente rispetto alla versione precedente.</w:t>
      </w:r>
    </w:p>
    <w:p>
      <w:pPr>
        <w:pStyle w:val="BodyText"/>
      </w:pPr>
      <w:r>
        <w:t xml:space="preserve">Le principali conclusioni sono le seguenti.</w:t>
      </w:r>
    </w:p>
    <w:p>
      <w:pPr>
        <w:pStyle w:val="BodyText"/>
      </w:pPr>
      <w:r>
        <w:t xml:space="preserve">Il modello finale, composto da tre variabili —</w:t>
      </w:r>
      <w:r>
        <w:t xml:space="preserve"> </w:t>
      </w:r>
      <w:r>
        <w:rPr>
          <w:rStyle w:val="VerbatimChar"/>
        </w:rPr>
        <w:t xml:space="preserve">pre_match_ppg_positive</w:t>
      </w:r>
      <w:r>
        <w:t xml:space="preserve"> </w:t>
      </w:r>
      <w:r>
        <w:t xml:space="preserve">(vantaggio PPG binarizzato),</w:t>
      </w:r>
      <w:r>
        <w:t xml:space="preserve"> </w:t>
      </w:r>
      <w:r>
        <w:rPr>
          <w:rStyle w:val="VerbatimChar"/>
        </w:rPr>
        <w:t xml:space="preserve">implied_probability_difference</w:t>
      </w:r>
      <w:r>
        <w:t xml:space="preserve"> </w:t>
      </w:r>
      <w:r>
        <w:t xml:space="preserve">(probabilità implicite dei bookmaker) e</w:t>
      </w:r>
      <w:r>
        <w:t xml:space="preserve"> </w:t>
      </w:r>
      <w:r>
        <w:rPr>
          <w:rStyle w:val="VerbatimChar"/>
        </w:rPr>
        <w:t xml:space="preserve">knockout</w:t>
      </w:r>
      <w:r>
        <w:t xml:space="preserve"> </w:t>
      </w:r>
      <w:r>
        <w:t xml:space="preserve">(fase del torneo) — è parsimonioso, interpretabile e statisticamente robusto.</w:t>
      </w:r>
    </w:p>
    <w:p>
      <w:pPr>
        <w:pStyle w:val="BodyText"/>
      </w:pPr>
      <w:r>
        <w:t xml:space="preserve">La variabile</w:t>
      </w:r>
      <w:r>
        <w:t xml:space="preserve"> </w:t>
      </w:r>
      <w:r>
        <w:rPr>
          <w:rStyle w:val="VerbatimChar"/>
        </w:rPr>
        <w:t xml:space="preserve">implied_probability_difference</w:t>
      </w:r>
      <w:r>
        <w:t xml:space="preserve"> </w:t>
      </w:r>
      <w:r>
        <w:t xml:space="preserve">si presenta come il predittore più potente: le quote dei bookmaker condensano informazioni su forma, infortuni, equilibri tattici e forza assoluta in un’unica misura, risultando superiore a qualsiasi singola statistica osservabile.</w:t>
      </w:r>
    </w:p>
    <w:p>
      <w:pPr>
        <w:pStyle w:val="BodyText"/>
      </w:pPr>
      <w:r>
        <w:t xml:space="preserve">La diagnostica conferma che le assunzioni della regressione lineare sono soddisfatte in misura accettabile. Le poche osservazioni influenti — legate a partite con scarti molto ampi — non destabilizzano le stime, come verificato dall’analisi di sensibilità e dalla regressione robusta M-estimation.</w:t>
      </w:r>
    </w:p>
    <w:p>
      <w:pPr>
        <w:pStyle w:val="BodyText"/>
      </w:pPr>
      <w:r>
        <w:t xml:space="preserve">Il confronto con la Random Forest mostra che l’errore predittivo out-of-sample dei due modelli è sostanzialmente equivalente. Questo esito suggerisce che la struttura lineare del modello è adeguata al fenomeno — la relazione tra forza relativa pre-partita e scarto di gol è approssimativamente lineare — e che la ridotta dimensione campionaria (n=64) limita il vantaggio dei metodi non parametrici. La scelta del modello lineare è quindi giustificata sia per interpretabilità che per potere predittivo.</w:t>
      </w:r>
    </w:p>
    <w:bookmarkEnd w:id="74"/>
    <w:bookmarkStart w:id="83" w:name="appendice"/>
    <w:p>
      <w:pPr>
        <w:pStyle w:val="Heading1"/>
      </w:pPr>
      <w:r>
        <w:t xml:space="preserve">9. Appendice</w:t>
      </w:r>
    </w:p>
    <w:bookmarkStart w:id="81" w:name="pesi-irls-per-osservazione-grafico"/>
    <w:p>
      <w:pPr>
        <w:pStyle w:val="Heading2"/>
      </w:pPr>
      <w:r>
        <w:t xml:space="preserve">9.1 Pesi IRLS per osservazione (grafico)</w:t>
      </w:r>
    </w:p>
    <w:p>
      <w:pPr>
        <w:pStyle w:val="CaptionedFigure"/>
      </w:pPr>
      <w:r>
        <w:drawing>
          <wp:inline>
            <wp:extent cx="4620126" cy="3696101"/>
            <wp:effectExtent b="0" l="0" r="0" t="0"/>
            <wp:docPr descr="Pesi IRLS (Huber) per ciascuna osservazione" title="" id="76" name="Picture"/>
            <a:graphic>
              <a:graphicData uri="http://schemas.openxmlformats.org/drawingml/2006/picture">
                <pic:pic>
                  <pic:nvPicPr>
                    <pic:cNvPr descr="analisi_world.cup.2022_report_files/figure-docx/appendice-irls-H-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Pesi IRLS (Huber) per ciascuna osservazione</w:t>
      </w:r>
    </w:p>
    <w:p>
      <w:pPr>
        <w:pStyle w:val="CaptionedFigure"/>
      </w:pPr>
      <w:r>
        <w:drawing>
          <wp:inline>
            <wp:extent cx="4620126" cy="3696101"/>
            <wp:effectExtent b="0" l="0" r="0" t="0"/>
            <wp:docPr descr="Pesi IRLS (Tukey) per ciascuna osservazione" title="" id="79" name="Picture"/>
            <a:graphic>
              <a:graphicData uri="http://schemas.openxmlformats.org/drawingml/2006/picture">
                <pic:pic>
                  <pic:nvPicPr>
                    <pic:cNvPr descr="analisi_world.cup.2022_report_files/figure-docx/appendice-irls-T-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Pesi IRLS (Tukey) per ciascuna osservazione</w:t>
      </w:r>
    </w:p>
    <w:bookmarkEnd w:id="81"/>
    <w:bookmarkStart w:id="82" w:name="partite-meglio-e-peggio-previste"/>
    <w:p>
      <w:pPr>
        <w:pStyle w:val="Heading2"/>
      </w:pPr>
      <w:r>
        <w:t xml:space="preserve">9.2 Partite meglio e peggio previste</w:t>
      </w:r>
    </w:p>
    <w:p>
      <w:pPr>
        <w:pStyle w:val="SourceCode"/>
      </w:pPr>
      <w:r>
        <w:rPr>
          <w:rStyle w:val="VerbatimChar"/>
        </w:rPr>
        <w:t xml:space="preserve">Partite meglio previste (errore assoluto minore):</w:t>
      </w:r>
    </w:p>
    <w:tbl>
      <w:tblPr>
        <w:tblStyle w:val="Table"/>
        <w:tblW w:type="pct" w:w="5000"/>
        <w:tblLayout w:type="fixed"/>
        <w:tblLook w:firstRow="1" w:lastRow="0" w:firstColumn="0" w:lastColumn="0" w:noHBand="0" w:noVBand="0" w:val="0020"/>
      </w:tblPr>
      <w:tblGrid>
        <w:gridCol w:w="1365"/>
        <w:gridCol w:w="1365"/>
        <w:gridCol w:w="1456"/>
        <w:gridCol w:w="2366"/>
        <w:gridCol w:w="1365"/>
      </w:tblGrid>
      <w:tr>
        <w:trPr>
          <w:tblHeader w:val="on"/>
        </w:trPr>
        <w:tc>
          <w:tcPr/>
          <w:p>
            <w:pPr>
              <w:pStyle w:val="Compact"/>
              <w:jc w:val="left"/>
            </w:pPr>
            <w:r>
              <w:t xml:space="preserve">home_team_name</w:t>
            </w:r>
          </w:p>
        </w:tc>
        <w:tc>
          <w:tcPr/>
          <w:p>
            <w:pPr>
              <w:pStyle w:val="Compact"/>
              <w:jc w:val="left"/>
            </w:pPr>
            <w:r>
              <w:t xml:space="preserve">away_team_name</w:t>
            </w:r>
          </w:p>
        </w:tc>
        <w:tc>
          <w:tcPr/>
          <w:p>
            <w:pPr>
              <w:pStyle w:val="Compact"/>
              <w:jc w:val="right"/>
            </w:pPr>
            <w:r>
              <w:t xml:space="preserve">goal_difference</w:t>
            </w:r>
          </w:p>
        </w:tc>
        <w:tc>
          <w:tcPr/>
          <w:p>
            <w:pPr>
              <w:pStyle w:val="Compact"/>
              <w:jc w:val="right"/>
            </w:pPr>
            <w:r>
              <w:t xml:space="preserve">goal_difference_predicted</w:t>
            </w:r>
          </w:p>
        </w:tc>
        <w:tc>
          <w:tcPr/>
          <w:p>
            <w:pPr>
              <w:pStyle w:val="Compact"/>
              <w:jc w:val="right"/>
            </w:pPr>
            <w:r>
              <w:t xml:space="preserve">absolute_error</w:t>
            </w:r>
          </w:p>
        </w:tc>
      </w:tr>
      <w:tr>
        <w:tc>
          <w:tcPr/>
          <w:p>
            <w:pPr>
              <w:pStyle w:val="Compact"/>
              <w:jc w:val="left"/>
            </w:pPr>
            <w:r>
              <w:t xml:space="preserve">Morocco</w:t>
            </w:r>
          </w:p>
        </w:tc>
        <w:tc>
          <w:tcPr/>
          <w:p>
            <w:pPr>
              <w:pStyle w:val="Compact"/>
              <w:jc w:val="left"/>
            </w:pPr>
            <w:r>
              <w:t xml:space="preserve">Spain</w:t>
            </w:r>
          </w:p>
        </w:tc>
        <w:tc>
          <w:tcPr/>
          <w:p>
            <w:pPr>
              <w:pStyle w:val="Compact"/>
              <w:jc w:val="right"/>
            </w:pPr>
            <w:r>
              <w:t xml:space="preserve">0</w:t>
            </w:r>
          </w:p>
        </w:tc>
        <w:tc>
          <w:tcPr/>
          <w:p>
            <w:pPr>
              <w:pStyle w:val="Compact"/>
              <w:jc w:val="right"/>
            </w:pPr>
            <w:r>
              <w:t xml:space="preserve">-0.05</w:t>
            </w:r>
          </w:p>
        </w:tc>
        <w:tc>
          <w:tcPr/>
          <w:p>
            <w:pPr>
              <w:pStyle w:val="Compact"/>
              <w:jc w:val="right"/>
            </w:pPr>
            <w:r>
              <w:t xml:space="preserve">0.05</w:t>
            </w:r>
          </w:p>
        </w:tc>
      </w:tr>
      <w:tr>
        <w:tc>
          <w:tcPr/>
          <w:p>
            <w:pPr>
              <w:pStyle w:val="Compact"/>
              <w:jc w:val="left"/>
            </w:pPr>
            <w:r>
              <w:t xml:space="preserve">Switzerland</w:t>
            </w:r>
          </w:p>
        </w:tc>
        <w:tc>
          <w:tcPr/>
          <w:p>
            <w:pPr>
              <w:pStyle w:val="Compact"/>
              <w:jc w:val="left"/>
            </w:pPr>
            <w:r>
              <w:t xml:space="preserve">Cameroon</w:t>
            </w:r>
          </w:p>
        </w:tc>
        <w:tc>
          <w:tcPr/>
          <w:p>
            <w:pPr>
              <w:pStyle w:val="Compact"/>
              <w:jc w:val="right"/>
            </w:pPr>
            <w:r>
              <w:t xml:space="preserve">1</w:t>
            </w:r>
          </w:p>
        </w:tc>
        <w:tc>
          <w:tcPr/>
          <w:p>
            <w:pPr>
              <w:pStyle w:val="Compact"/>
              <w:jc w:val="right"/>
            </w:pPr>
            <w:r>
              <w:t xml:space="preserve">0.90</w:t>
            </w:r>
          </w:p>
        </w:tc>
        <w:tc>
          <w:tcPr/>
          <w:p>
            <w:pPr>
              <w:pStyle w:val="Compact"/>
              <w:jc w:val="right"/>
            </w:pPr>
            <w:r>
              <w:t xml:space="preserve">0.10</w:t>
            </w:r>
          </w:p>
        </w:tc>
      </w:tr>
      <w:tr>
        <w:tc>
          <w:tcPr/>
          <w:p>
            <w:pPr>
              <w:pStyle w:val="Compact"/>
              <w:jc w:val="left"/>
            </w:pPr>
            <w:r>
              <w:t xml:space="preserve">France</w:t>
            </w:r>
          </w:p>
        </w:tc>
        <w:tc>
          <w:tcPr/>
          <w:p>
            <w:pPr>
              <w:pStyle w:val="Compact"/>
              <w:jc w:val="left"/>
            </w:pPr>
            <w:r>
              <w:t xml:space="preserve">Morocco</w:t>
            </w:r>
          </w:p>
        </w:tc>
        <w:tc>
          <w:tcPr/>
          <w:p>
            <w:pPr>
              <w:pStyle w:val="Compact"/>
              <w:jc w:val="right"/>
            </w:pPr>
            <w:r>
              <w:t xml:space="preserve">2</w:t>
            </w:r>
          </w:p>
        </w:tc>
        <w:tc>
          <w:tcPr/>
          <w:p>
            <w:pPr>
              <w:pStyle w:val="Compact"/>
              <w:jc w:val="right"/>
            </w:pPr>
            <w:r>
              <w:t xml:space="preserve">1.86</w:t>
            </w:r>
          </w:p>
        </w:tc>
        <w:tc>
          <w:tcPr/>
          <w:p>
            <w:pPr>
              <w:pStyle w:val="Compact"/>
              <w:jc w:val="right"/>
            </w:pPr>
            <w:r>
              <w:t xml:space="preserve">0.14</w:t>
            </w:r>
          </w:p>
        </w:tc>
      </w:tr>
      <w:tr>
        <w:tc>
          <w:tcPr/>
          <w:p>
            <w:pPr>
              <w:pStyle w:val="Compact"/>
              <w:jc w:val="left"/>
            </w:pPr>
            <w:r>
              <w:t xml:space="preserve">Portugal</w:t>
            </w:r>
          </w:p>
        </w:tc>
        <w:tc>
          <w:tcPr/>
          <w:p>
            <w:pPr>
              <w:pStyle w:val="Compact"/>
              <w:jc w:val="left"/>
            </w:pPr>
            <w:r>
              <w:t xml:space="preserve">Ghana</w:t>
            </w:r>
          </w:p>
        </w:tc>
        <w:tc>
          <w:tcPr/>
          <w:p>
            <w:pPr>
              <w:pStyle w:val="Compact"/>
              <w:jc w:val="right"/>
            </w:pPr>
            <w:r>
              <w:t xml:space="preserve">1</w:t>
            </w:r>
          </w:p>
        </w:tc>
        <w:tc>
          <w:tcPr/>
          <w:p>
            <w:pPr>
              <w:pStyle w:val="Compact"/>
              <w:jc w:val="right"/>
            </w:pPr>
            <w:r>
              <w:t xml:space="preserve">1.16</w:t>
            </w:r>
          </w:p>
        </w:tc>
        <w:tc>
          <w:tcPr/>
          <w:p>
            <w:pPr>
              <w:pStyle w:val="Compact"/>
              <w:jc w:val="right"/>
            </w:pPr>
            <w:r>
              <w:t xml:space="preserve">0.16</w:t>
            </w:r>
          </w:p>
        </w:tc>
      </w:tr>
      <w:tr>
        <w:tc>
          <w:tcPr/>
          <w:p>
            <w:pPr>
              <w:pStyle w:val="Compact"/>
              <w:jc w:val="left"/>
            </w:pPr>
            <w:r>
              <w:t xml:space="preserve">Mexico</w:t>
            </w:r>
          </w:p>
        </w:tc>
        <w:tc>
          <w:tcPr/>
          <w:p>
            <w:pPr>
              <w:pStyle w:val="Compact"/>
              <w:jc w:val="left"/>
            </w:pPr>
            <w:r>
              <w:t xml:space="preserve">Poland</w:t>
            </w:r>
          </w:p>
        </w:tc>
        <w:tc>
          <w:tcPr/>
          <w:p>
            <w:pPr>
              <w:pStyle w:val="Compact"/>
              <w:jc w:val="right"/>
            </w:pPr>
            <w:r>
              <w:t xml:space="preserve">0</w:t>
            </w:r>
          </w:p>
        </w:tc>
        <w:tc>
          <w:tcPr/>
          <w:p>
            <w:pPr>
              <w:pStyle w:val="Compact"/>
              <w:jc w:val="right"/>
            </w:pPr>
            <w:r>
              <w:t xml:space="preserve">0.16</w:t>
            </w:r>
          </w:p>
        </w:tc>
        <w:tc>
          <w:tcPr/>
          <w:p>
            <w:pPr>
              <w:pStyle w:val="Compact"/>
              <w:jc w:val="right"/>
            </w:pPr>
            <w:r>
              <w:t xml:space="preserve">0.16</w:t>
            </w:r>
          </w:p>
        </w:tc>
      </w:tr>
    </w:tbl>
    <w:p>
      <w:pPr>
        <w:pStyle w:val="SourceCode"/>
      </w:pPr>
      <w:r>
        <w:br/>
      </w:r>
      <w:r>
        <w:rPr>
          <w:rStyle w:val="VerbatimChar"/>
        </w:rPr>
        <w:t xml:space="preserve">Partite peggio previste (errore assoluto maggiore):</w:t>
      </w:r>
    </w:p>
    <w:tbl>
      <w:tblPr>
        <w:tblStyle w:val="Table"/>
        <w:tblW w:type="pct" w:w="5000"/>
        <w:tblLayout w:type="fixed"/>
        <w:tblLook w:firstRow="1" w:lastRow="0" w:firstColumn="0" w:lastColumn="0" w:noHBand="0" w:noVBand="0" w:val="0020"/>
      </w:tblPr>
      <w:tblGrid>
        <w:gridCol w:w="1365"/>
        <w:gridCol w:w="1365"/>
        <w:gridCol w:w="1456"/>
        <w:gridCol w:w="2366"/>
        <w:gridCol w:w="1365"/>
      </w:tblGrid>
      <w:tr>
        <w:trPr>
          <w:tblHeader w:val="on"/>
        </w:trPr>
        <w:tc>
          <w:tcPr/>
          <w:p>
            <w:pPr>
              <w:pStyle w:val="Compact"/>
              <w:jc w:val="left"/>
            </w:pPr>
            <w:r>
              <w:t xml:space="preserve">home_team_name</w:t>
            </w:r>
          </w:p>
        </w:tc>
        <w:tc>
          <w:tcPr/>
          <w:p>
            <w:pPr>
              <w:pStyle w:val="Compact"/>
              <w:jc w:val="left"/>
            </w:pPr>
            <w:r>
              <w:t xml:space="preserve">away_team_name</w:t>
            </w:r>
          </w:p>
        </w:tc>
        <w:tc>
          <w:tcPr/>
          <w:p>
            <w:pPr>
              <w:pStyle w:val="Compact"/>
              <w:jc w:val="right"/>
            </w:pPr>
            <w:r>
              <w:t xml:space="preserve">goal_difference</w:t>
            </w:r>
          </w:p>
        </w:tc>
        <w:tc>
          <w:tcPr/>
          <w:p>
            <w:pPr>
              <w:pStyle w:val="Compact"/>
              <w:jc w:val="right"/>
            </w:pPr>
            <w:r>
              <w:t xml:space="preserve">goal_difference_predicted</w:t>
            </w:r>
          </w:p>
        </w:tc>
        <w:tc>
          <w:tcPr/>
          <w:p>
            <w:pPr>
              <w:pStyle w:val="Compact"/>
              <w:jc w:val="right"/>
            </w:pPr>
            <w:r>
              <w:t xml:space="preserve">absolute_error</w:t>
            </w:r>
          </w:p>
        </w:tc>
      </w:tr>
      <w:tr>
        <w:tc>
          <w:tcPr/>
          <w:p>
            <w:pPr>
              <w:pStyle w:val="Compact"/>
              <w:jc w:val="left"/>
            </w:pPr>
            <w:r>
              <w:t xml:space="preserve">Spain</w:t>
            </w:r>
          </w:p>
        </w:tc>
        <w:tc>
          <w:tcPr/>
          <w:p>
            <w:pPr>
              <w:pStyle w:val="Compact"/>
              <w:jc w:val="left"/>
            </w:pPr>
            <w:r>
              <w:t xml:space="preserve">Costa Rica</w:t>
            </w:r>
          </w:p>
        </w:tc>
        <w:tc>
          <w:tcPr/>
          <w:p>
            <w:pPr>
              <w:pStyle w:val="Compact"/>
              <w:jc w:val="right"/>
            </w:pPr>
            <w:r>
              <w:t xml:space="preserve">7</w:t>
            </w:r>
          </w:p>
        </w:tc>
        <w:tc>
          <w:tcPr/>
          <w:p>
            <w:pPr>
              <w:pStyle w:val="Compact"/>
              <w:jc w:val="right"/>
            </w:pPr>
            <w:r>
              <w:t xml:space="preserve">1.60</w:t>
            </w:r>
          </w:p>
        </w:tc>
        <w:tc>
          <w:tcPr/>
          <w:p>
            <w:pPr>
              <w:pStyle w:val="Compact"/>
              <w:jc w:val="right"/>
            </w:pPr>
            <w:r>
              <w:t xml:space="preserve">5.40</w:t>
            </w:r>
          </w:p>
        </w:tc>
      </w:tr>
      <w:tr>
        <w:tc>
          <w:tcPr/>
          <w:p>
            <w:pPr>
              <w:pStyle w:val="Compact"/>
              <w:jc w:val="left"/>
            </w:pPr>
            <w:r>
              <w:t xml:space="preserve">Portugal</w:t>
            </w:r>
          </w:p>
        </w:tc>
        <w:tc>
          <w:tcPr/>
          <w:p>
            <w:pPr>
              <w:pStyle w:val="Compact"/>
              <w:jc w:val="left"/>
            </w:pPr>
            <w:r>
              <w:t xml:space="preserve">Switzerland</w:t>
            </w:r>
          </w:p>
        </w:tc>
        <w:tc>
          <w:tcPr/>
          <w:p>
            <w:pPr>
              <w:pStyle w:val="Compact"/>
              <w:jc w:val="right"/>
            </w:pPr>
            <w:r>
              <w:t xml:space="preserve">5</w:t>
            </w:r>
          </w:p>
        </w:tc>
        <w:tc>
          <w:tcPr/>
          <w:p>
            <w:pPr>
              <w:pStyle w:val="Compact"/>
              <w:jc w:val="right"/>
            </w:pPr>
            <w:r>
              <w:t xml:space="preserve">2.03</w:t>
            </w:r>
          </w:p>
        </w:tc>
        <w:tc>
          <w:tcPr/>
          <w:p>
            <w:pPr>
              <w:pStyle w:val="Compact"/>
              <w:jc w:val="right"/>
            </w:pPr>
            <w:r>
              <w:t xml:space="preserve">2.97</w:t>
            </w:r>
          </w:p>
        </w:tc>
      </w:tr>
      <w:tr>
        <w:tc>
          <w:tcPr/>
          <w:p>
            <w:pPr>
              <w:pStyle w:val="Compact"/>
              <w:jc w:val="left"/>
            </w:pPr>
            <w:r>
              <w:t xml:space="preserve">Argentina</w:t>
            </w:r>
          </w:p>
        </w:tc>
        <w:tc>
          <w:tcPr/>
          <w:p>
            <w:pPr>
              <w:pStyle w:val="Compact"/>
              <w:jc w:val="left"/>
            </w:pPr>
            <w:r>
              <w:t xml:space="preserve">Saudi Arabia</w:t>
            </w:r>
          </w:p>
        </w:tc>
        <w:tc>
          <w:tcPr/>
          <w:p>
            <w:pPr>
              <w:pStyle w:val="Compact"/>
              <w:jc w:val="right"/>
            </w:pPr>
            <w:r>
              <w:t xml:space="preserve">-1</w:t>
            </w:r>
          </w:p>
        </w:tc>
        <w:tc>
          <w:tcPr/>
          <w:p>
            <w:pPr>
              <w:pStyle w:val="Compact"/>
              <w:jc w:val="right"/>
            </w:pPr>
            <w:r>
              <w:t xml:space="preserve">1.70</w:t>
            </w:r>
          </w:p>
        </w:tc>
        <w:tc>
          <w:tcPr/>
          <w:p>
            <w:pPr>
              <w:pStyle w:val="Compact"/>
              <w:jc w:val="right"/>
            </w:pPr>
            <w:r>
              <w:t xml:space="preserve">2.70</w:t>
            </w:r>
          </w:p>
        </w:tc>
      </w:tr>
      <w:tr>
        <w:tc>
          <w:tcPr/>
          <w:p>
            <w:pPr>
              <w:pStyle w:val="Compact"/>
              <w:jc w:val="left"/>
            </w:pPr>
            <w:r>
              <w:t xml:space="preserve">Croatia</w:t>
            </w:r>
          </w:p>
        </w:tc>
        <w:tc>
          <w:tcPr/>
          <w:p>
            <w:pPr>
              <w:pStyle w:val="Compact"/>
              <w:jc w:val="left"/>
            </w:pPr>
            <w:r>
              <w:t xml:space="preserve">Canada</w:t>
            </w:r>
          </w:p>
        </w:tc>
        <w:tc>
          <w:tcPr/>
          <w:p>
            <w:pPr>
              <w:pStyle w:val="Compact"/>
              <w:jc w:val="right"/>
            </w:pPr>
            <w:r>
              <w:t xml:space="preserve">3</w:t>
            </w:r>
          </w:p>
        </w:tc>
        <w:tc>
          <w:tcPr/>
          <w:p>
            <w:pPr>
              <w:pStyle w:val="Compact"/>
              <w:jc w:val="right"/>
            </w:pPr>
            <w:r>
              <w:t xml:space="preserve">0.30</w:t>
            </w:r>
          </w:p>
        </w:tc>
        <w:tc>
          <w:tcPr/>
          <w:p>
            <w:pPr>
              <w:pStyle w:val="Compact"/>
              <w:jc w:val="right"/>
            </w:pPr>
            <w:r>
              <w:t xml:space="preserve">2.70</w:t>
            </w:r>
          </w:p>
        </w:tc>
      </w:tr>
      <w:tr>
        <w:tc>
          <w:tcPr/>
          <w:p>
            <w:pPr>
              <w:pStyle w:val="Compact"/>
              <w:jc w:val="left"/>
            </w:pPr>
            <w:r>
              <w:t xml:space="preserve">Belgium</w:t>
            </w:r>
          </w:p>
        </w:tc>
        <w:tc>
          <w:tcPr/>
          <w:p>
            <w:pPr>
              <w:pStyle w:val="Compact"/>
              <w:jc w:val="left"/>
            </w:pPr>
            <w:r>
              <w:t xml:space="preserve">Morocco</w:t>
            </w:r>
          </w:p>
        </w:tc>
        <w:tc>
          <w:tcPr/>
          <w:p>
            <w:pPr>
              <w:pStyle w:val="Compact"/>
              <w:jc w:val="right"/>
            </w:pPr>
            <w:r>
              <w:t xml:space="preserve">-2</w:t>
            </w:r>
          </w:p>
        </w:tc>
        <w:tc>
          <w:tcPr/>
          <w:p>
            <w:pPr>
              <w:pStyle w:val="Compact"/>
              <w:jc w:val="right"/>
            </w:pPr>
            <w:r>
              <w:t xml:space="preserve">0.62</w:t>
            </w:r>
          </w:p>
        </w:tc>
        <w:tc>
          <w:tcPr/>
          <w:p>
            <w:pPr>
              <w:pStyle w:val="Compact"/>
              <w:jc w:val="right"/>
            </w:pPr>
            <w:r>
              <w:t xml:space="preserve">2.62</w:t>
            </w:r>
          </w:p>
        </w:tc>
      </w:tr>
    </w:tbl>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8" Target="media/rId18.png" /><Relationship Type="http://schemas.openxmlformats.org/officeDocument/2006/relationships/image" Id="rId41" Target="media/rId41.png" /><Relationship Type="http://schemas.openxmlformats.org/officeDocument/2006/relationships/image" Id="rId11" Target="media/rId11.png" /><Relationship Type="http://schemas.openxmlformats.org/officeDocument/2006/relationships/image" Id="rId36" Target="media/rId36.png" /><Relationship Type="http://schemas.openxmlformats.org/officeDocument/2006/relationships/image" Id="rId31" Target="media/rId3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15" Target="media/rId15.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Statistica del Mondiale FIFA 2022</dc:title>
  <dc:creator>Angelo Esposito</dc:creator>
  <cp:keywords/>
  <dcterms:created xsi:type="dcterms:W3CDTF">2026-07-16T13:46:25Z</dcterms:created>
  <dcterms:modified xsi:type="dcterms:W3CDTF">2026-07-16T13:46:25Z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fontsize">
    <vt:lpwstr>11pt</vt:lpwstr>
  </property>
  <property fmtid="{D5CDD505-2E9C-101B-9397-08002B2CF9AE}" pid="8" name="geometry">
    <vt:lpwstr>margin=2.5cm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Modello di regressione lineare multipla per la differenza reti</vt:lpwstr>
  </property>
  <property fmtid="{D5CDD505-2E9C-101B-9397-08002B2CF9AE}" pid="14" name="toc-title">
    <vt:lpwstr>Table of contents</vt:lpwstr>
  </property>
</Properties>
</file>