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1CE6" w14:textId="3D7A4ECB" w:rsidR="00446987" w:rsidRDefault="00446987">
      <w:pPr>
        <w:rPr>
          <w:rFonts w:ascii="Arial" w:hAnsi="Arial" w:cs="Arial"/>
          <w:sz w:val="28"/>
          <w:szCs w:val="28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2A49F9" wp14:editId="75283F29">
            <wp:simplePos x="0" y="0"/>
            <wp:positionH relativeFrom="margin">
              <wp:align>left</wp:align>
            </wp:positionH>
            <wp:positionV relativeFrom="topMargin">
              <wp:align>bottom</wp:align>
            </wp:positionV>
            <wp:extent cx="1398905" cy="588010"/>
            <wp:effectExtent l="0" t="0" r="0" b="2540"/>
            <wp:wrapNone/>
            <wp:docPr id="215429222" name="Imagen 1" descr="Logotipos - Facultad de Arquitectura UA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s - Facultad de Arquitectura UAN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698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C1AF10" wp14:editId="2EB5512D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264258" cy="574051"/>
            <wp:effectExtent l="0" t="0" r="0" b="0"/>
            <wp:wrapNone/>
            <wp:docPr id="1549070622" name="Imagen 3" descr="FCFM |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CFM | Inici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58" cy="57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6987">
        <w:rPr>
          <w:rFonts w:ascii="Arial" w:hAnsi="Arial" w:cs="Arial"/>
          <w:sz w:val="28"/>
          <w:szCs w:val="28"/>
        </w:rPr>
        <w:t xml:space="preserve"> </w:t>
      </w:r>
    </w:p>
    <w:p w14:paraId="0B629166" w14:textId="40CDB00B" w:rsidR="00446987" w:rsidRPr="007C2EEB" w:rsidRDefault="007C2EEB" w:rsidP="007C2EEB">
      <w:pPr>
        <w:pStyle w:val="Ttulo2"/>
        <w:rPr>
          <w:sz w:val="2"/>
          <w:szCs w:val="2"/>
          <w:lang w:val="es-ES"/>
        </w:rPr>
      </w:pPr>
      <w:bookmarkStart w:id="0" w:name="_Toc205895222"/>
      <w:r w:rsidRPr="007C2EEB">
        <w:rPr>
          <w:sz w:val="2"/>
          <w:szCs w:val="2"/>
          <w:lang w:val="es-ES"/>
        </w:rPr>
        <w:t>portada</w:t>
      </w:r>
      <w:bookmarkEnd w:id="0"/>
    </w:p>
    <w:p w14:paraId="468C65BA" w14:textId="41A5A974" w:rsidR="00446987" w:rsidRPr="006B767A" w:rsidRDefault="00446987">
      <w:pPr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t>Universidad Autónoma de Nuevo León</w:t>
      </w:r>
    </w:p>
    <w:p w14:paraId="6BE4BBE6" w14:textId="77777777" w:rsidR="00446987" w:rsidRPr="006B767A" w:rsidRDefault="00446987">
      <w:pPr>
        <w:rPr>
          <w:rFonts w:ascii="Arial" w:hAnsi="Arial" w:cs="Arial"/>
          <w:sz w:val="24"/>
          <w:szCs w:val="24"/>
          <w:lang w:val="es-ES"/>
        </w:rPr>
      </w:pPr>
    </w:p>
    <w:p w14:paraId="0FAD45DC" w14:textId="686D5CC2" w:rsidR="00EC26FD" w:rsidRPr="006B767A" w:rsidRDefault="00446987">
      <w:pPr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t>Facultad de Ciencias Físico Matemáticas</w:t>
      </w:r>
      <w:r w:rsidRPr="006B767A">
        <w:rPr>
          <w:rFonts w:ascii="Arial" w:hAnsi="Arial" w:cs="Arial"/>
          <w:sz w:val="24"/>
          <w:szCs w:val="24"/>
          <w:lang w:val="es-ES"/>
        </w:rPr>
        <w:br/>
      </w:r>
    </w:p>
    <w:p w14:paraId="2F1C36C1" w14:textId="000C2503" w:rsidR="00446987" w:rsidRPr="006B767A" w:rsidRDefault="00446987">
      <w:pPr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t>Asignatura:</w:t>
      </w:r>
      <w:r w:rsidRPr="006B767A">
        <w:rPr>
          <w:rFonts w:ascii="Arial" w:hAnsi="Arial" w:cs="Arial"/>
          <w:sz w:val="24"/>
          <w:szCs w:val="24"/>
          <w:lang w:val="es-ES"/>
        </w:rPr>
        <w:br/>
      </w:r>
      <w:r w:rsidR="00B409CA" w:rsidRPr="006B767A">
        <w:rPr>
          <w:rFonts w:ascii="Arial" w:hAnsi="Arial" w:cs="Arial"/>
          <w:sz w:val="24"/>
          <w:szCs w:val="24"/>
          <w:lang w:val="es-ES"/>
        </w:rPr>
        <w:t>Diseño de Arquitecturas de Seguridad Informática</w:t>
      </w:r>
    </w:p>
    <w:p w14:paraId="24062A1A" w14:textId="77777777" w:rsidR="00446987" w:rsidRPr="006B767A" w:rsidRDefault="00446987">
      <w:pPr>
        <w:rPr>
          <w:rFonts w:ascii="Arial" w:hAnsi="Arial" w:cs="Arial"/>
          <w:sz w:val="24"/>
          <w:szCs w:val="24"/>
          <w:lang w:val="es-ES"/>
        </w:rPr>
      </w:pPr>
    </w:p>
    <w:p w14:paraId="17352CA5" w14:textId="4E03422D" w:rsidR="00446987" w:rsidRPr="006B767A" w:rsidRDefault="00446987">
      <w:pPr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t>Docente:</w:t>
      </w:r>
      <w:r w:rsidRPr="006B767A">
        <w:rPr>
          <w:rFonts w:ascii="Arial" w:hAnsi="Arial" w:cs="Arial"/>
          <w:sz w:val="24"/>
          <w:szCs w:val="24"/>
          <w:lang w:val="es-ES"/>
        </w:rPr>
        <w:br/>
      </w:r>
      <w:proofErr w:type="spellStart"/>
      <w:r w:rsidR="009349D7" w:rsidRPr="006B767A">
        <w:rPr>
          <w:rFonts w:ascii="Arial" w:hAnsi="Arial" w:cs="Arial"/>
          <w:sz w:val="24"/>
          <w:szCs w:val="24"/>
          <w:lang w:val="es-ES"/>
        </w:rPr>
        <w:t>Hector</w:t>
      </w:r>
      <w:proofErr w:type="spellEnd"/>
      <w:r w:rsidR="009349D7" w:rsidRPr="006B767A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="009349D7" w:rsidRPr="006B767A">
        <w:rPr>
          <w:rFonts w:ascii="Arial" w:hAnsi="Arial" w:cs="Arial"/>
          <w:sz w:val="24"/>
          <w:szCs w:val="24"/>
          <w:lang w:val="es-ES"/>
        </w:rPr>
        <w:t>Olaff</w:t>
      </w:r>
      <w:proofErr w:type="spellEnd"/>
      <w:r w:rsidR="009349D7" w:rsidRPr="006B767A">
        <w:rPr>
          <w:rFonts w:ascii="Arial" w:hAnsi="Arial" w:cs="Arial"/>
          <w:sz w:val="24"/>
          <w:szCs w:val="24"/>
          <w:lang w:val="es-ES"/>
        </w:rPr>
        <w:t xml:space="preserve"> Cantú Moreno</w:t>
      </w:r>
    </w:p>
    <w:p w14:paraId="5D777FAE" w14:textId="77777777" w:rsidR="00446987" w:rsidRPr="006B767A" w:rsidRDefault="00446987">
      <w:pPr>
        <w:rPr>
          <w:rFonts w:ascii="Arial" w:hAnsi="Arial" w:cs="Arial"/>
          <w:sz w:val="24"/>
          <w:szCs w:val="24"/>
          <w:lang w:val="es-ES"/>
        </w:rPr>
      </w:pPr>
    </w:p>
    <w:p w14:paraId="1FE1D2BA" w14:textId="7F120D5B" w:rsidR="00446987" w:rsidRPr="006B767A" w:rsidRDefault="00446987">
      <w:pPr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t>Alumno:</w:t>
      </w:r>
      <w:r w:rsidRPr="006B767A">
        <w:rPr>
          <w:rFonts w:ascii="Arial" w:hAnsi="Arial" w:cs="Arial"/>
          <w:sz w:val="24"/>
          <w:szCs w:val="24"/>
          <w:lang w:val="es-ES"/>
        </w:rPr>
        <w:br/>
        <w:t>Pedro Angel Garcia Martinez</w:t>
      </w:r>
    </w:p>
    <w:p w14:paraId="758303E5" w14:textId="77777777" w:rsidR="000F653C" w:rsidRPr="006B767A" w:rsidRDefault="000F653C">
      <w:pPr>
        <w:rPr>
          <w:rFonts w:ascii="Arial" w:hAnsi="Arial" w:cs="Arial"/>
          <w:sz w:val="24"/>
          <w:szCs w:val="24"/>
          <w:lang w:val="es-ES"/>
        </w:rPr>
      </w:pPr>
    </w:p>
    <w:p w14:paraId="39D16EC0" w14:textId="2697C13A" w:rsidR="000F653C" w:rsidRPr="006B767A" w:rsidRDefault="000F653C">
      <w:pPr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t>Matrícula:</w:t>
      </w:r>
    </w:p>
    <w:p w14:paraId="78FA54A2" w14:textId="6D82A700" w:rsidR="000F653C" w:rsidRPr="006B767A" w:rsidRDefault="000F653C">
      <w:pPr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t>1989989</w:t>
      </w:r>
    </w:p>
    <w:p w14:paraId="6B439CF4" w14:textId="77777777" w:rsidR="00446987" w:rsidRPr="006B767A" w:rsidRDefault="00446987">
      <w:pPr>
        <w:rPr>
          <w:rFonts w:ascii="Arial" w:hAnsi="Arial" w:cs="Arial"/>
          <w:sz w:val="24"/>
          <w:szCs w:val="24"/>
          <w:lang w:val="es-ES"/>
        </w:rPr>
      </w:pPr>
    </w:p>
    <w:p w14:paraId="5D7F7FD6" w14:textId="4468835B" w:rsidR="00446987" w:rsidRDefault="009349D7">
      <w:pPr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t>Tarea</w:t>
      </w:r>
      <w:r w:rsidR="008D33F3" w:rsidRPr="006B767A">
        <w:rPr>
          <w:rFonts w:ascii="Arial" w:hAnsi="Arial" w:cs="Arial"/>
          <w:sz w:val="24"/>
          <w:szCs w:val="24"/>
          <w:lang w:val="es-ES"/>
        </w:rPr>
        <w:t xml:space="preserve"> </w:t>
      </w:r>
      <w:r w:rsidR="00607F87" w:rsidRPr="006B767A">
        <w:rPr>
          <w:rFonts w:ascii="Arial" w:hAnsi="Arial" w:cs="Arial"/>
          <w:sz w:val="24"/>
          <w:szCs w:val="24"/>
          <w:lang w:val="es-ES"/>
        </w:rPr>
        <w:t>1</w:t>
      </w:r>
      <w:r w:rsidR="005B33CE" w:rsidRPr="006B767A">
        <w:rPr>
          <w:rFonts w:ascii="Arial" w:hAnsi="Arial" w:cs="Arial"/>
          <w:sz w:val="24"/>
          <w:szCs w:val="24"/>
          <w:lang w:val="es-ES"/>
        </w:rPr>
        <w:t>:</w:t>
      </w:r>
    </w:p>
    <w:p w14:paraId="44F8B82A" w14:textId="6CD83BC2" w:rsidR="006B767A" w:rsidRPr="006B767A" w:rsidRDefault="00DA477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Comparativa entre</w:t>
      </w:r>
      <w:r w:rsidR="002051E3">
        <w:rPr>
          <w:rFonts w:ascii="Arial" w:hAnsi="Arial" w:cs="Arial"/>
          <w:sz w:val="24"/>
          <w:szCs w:val="24"/>
          <w:lang w:val="es-ES"/>
        </w:rPr>
        <w:t xml:space="preserve"> d</w:t>
      </w:r>
      <w:r w:rsidR="006B767A">
        <w:rPr>
          <w:rFonts w:ascii="Arial" w:hAnsi="Arial" w:cs="Arial"/>
          <w:sz w:val="24"/>
          <w:szCs w:val="24"/>
          <w:lang w:val="es-ES"/>
        </w:rPr>
        <w:t>iferentes marcos</w:t>
      </w:r>
    </w:p>
    <w:p w14:paraId="69258644" w14:textId="77777777" w:rsidR="00134949" w:rsidRDefault="00134949" w:rsidP="006B767A">
      <w:pPr>
        <w:jc w:val="right"/>
        <w:rPr>
          <w:rFonts w:ascii="Arial" w:hAnsi="Arial" w:cs="Arial"/>
          <w:sz w:val="24"/>
          <w:szCs w:val="24"/>
          <w:lang w:val="es-ES"/>
        </w:rPr>
      </w:pPr>
    </w:p>
    <w:p w14:paraId="1F4B8587" w14:textId="77777777" w:rsidR="00134949" w:rsidRDefault="00134949" w:rsidP="006B767A">
      <w:pPr>
        <w:jc w:val="right"/>
        <w:rPr>
          <w:rFonts w:ascii="Arial" w:hAnsi="Arial" w:cs="Arial"/>
          <w:sz w:val="24"/>
          <w:szCs w:val="24"/>
          <w:lang w:val="es-ES"/>
        </w:rPr>
      </w:pPr>
    </w:p>
    <w:p w14:paraId="678BA720" w14:textId="77777777" w:rsidR="00134949" w:rsidRDefault="00134949" w:rsidP="006B767A">
      <w:pPr>
        <w:jc w:val="right"/>
        <w:rPr>
          <w:rFonts w:ascii="Arial" w:hAnsi="Arial" w:cs="Arial"/>
          <w:sz w:val="24"/>
          <w:szCs w:val="24"/>
          <w:lang w:val="es-ES"/>
        </w:rPr>
      </w:pPr>
    </w:p>
    <w:p w14:paraId="11695AB6" w14:textId="77777777" w:rsidR="00134949" w:rsidRDefault="00134949" w:rsidP="006B767A">
      <w:pPr>
        <w:jc w:val="right"/>
        <w:rPr>
          <w:rFonts w:ascii="Arial" w:hAnsi="Arial" w:cs="Arial"/>
          <w:sz w:val="24"/>
          <w:szCs w:val="24"/>
          <w:lang w:val="es-ES"/>
        </w:rPr>
      </w:pPr>
    </w:p>
    <w:p w14:paraId="04101222" w14:textId="77777777" w:rsidR="00134949" w:rsidRDefault="00134949" w:rsidP="006B767A">
      <w:pPr>
        <w:jc w:val="right"/>
        <w:rPr>
          <w:rFonts w:ascii="Arial" w:hAnsi="Arial" w:cs="Arial"/>
          <w:sz w:val="24"/>
          <w:szCs w:val="24"/>
          <w:lang w:val="es-ES"/>
        </w:rPr>
      </w:pPr>
    </w:p>
    <w:p w14:paraId="0E7FD0C8" w14:textId="77777777" w:rsidR="00134949" w:rsidRDefault="00134949" w:rsidP="006B767A">
      <w:pPr>
        <w:jc w:val="right"/>
        <w:rPr>
          <w:rFonts w:ascii="Arial" w:hAnsi="Arial" w:cs="Arial"/>
          <w:sz w:val="24"/>
          <w:szCs w:val="24"/>
          <w:lang w:val="es-ES"/>
        </w:rPr>
      </w:pPr>
    </w:p>
    <w:p w14:paraId="3D07C168" w14:textId="77777777" w:rsidR="00134949" w:rsidRDefault="00134949" w:rsidP="006B767A">
      <w:pPr>
        <w:jc w:val="right"/>
        <w:rPr>
          <w:rFonts w:ascii="Arial" w:hAnsi="Arial" w:cs="Arial"/>
          <w:sz w:val="24"/>
          <w:szCs w:val="24"/>
          <w:lang w:val="es-ES"/>
        </w:rPr>
      </w:pPr>
    </w:p>
    <w:p w14:paraId="59AA69D4" w14:textId="1A8825B6" w:rsidR="002051E3" w:rsidRDefault="00446987" w:rsidP="00134949">
      <w:pPr>
        <w:ind w:left="6372"/>
        <w:rPr>
          <w:rFonts w:ascii="Arial" w:hAnsi="Arial" w:cs="Arial"/>
          <w:sz w:val="24"/>
          <w:szCs w:val="24"/>
          <w:lang w:val="es-ES"/>
        </w:rPr>
      </w:pPr>
      <w:r w:rsidRPr="006B767A">
        <w:rPr>
          <w:rFonts w:ascii="Arial" w:hAnsi="Arial" w:cs="Arial"/>
          <w:sz w:val="24"/>
          <w:szCs w:val="24"/>
          <w:lang w:val="es-ES"/>
        </w:rPr>
        <w:br/>
      </w:r>
      <w:r w:rsidR="0058793B" w:rsidRPr="006B767A">
        <w:rPr>
          <w:rFonts w:ascii="Arial" w:hAnsi="Arial" w:cs="Arial"/>
          <w:sz w:val="24"/>
          <w:szCs w:val="24"/>
          <w:lang w:val="es-ES"/>
        </w:rPr>
        <w:t>1</w:t>
      </w:r>
      <w:r w:rsidR="00A40322">
        <w:rPr>
          <w:rFonts w:ascii="Arial" w:hAnsi="Arial" w:cs="Arial"/>
          <w:sz w:val="24"/>
          <w:szCs w:val="24"/>
          <w:lang w:val="es-ES"/>
        </w:rPr>
        <w:t>2</w:t>
      </w:r>
      <w:r w:rsidRPr="006B767A">
        <w:rPr>
          <w:rFonts w:ascii="Arial" w:hAnsi="Arial" w:cs="Arial"/>
          <w:sz w:val="24"/>
          <w:szCs w:val="24"/>
          <w:lang w:val="es-ES"/>
        </w:rPr>
        <w:t xml:space="preserve"> de </w:t>
      </w:r>
      <w:r w:rsidR="00DA5781" w:rsidRPr="006B767A">
        <w:rPr>
          <w:rFonts w:ascii="Arial" w:hAnsi="Arial" w:cs="Arial"/>
          <w:sz w:val="24"/>
          <w:szCs w:val="24"/>
          <w:lang w:val="es-ES"/>
        </w:rPr>
        <w:t>agosto</w:t>
      </w:r>
      <w:r w:rsidRPr="006B767A">
        <w:rPr>
          <w:rFonts w:ascii="Arial" w:hAnsi="Arial" w:cs="Arial"/>
          <w:sz w:val="24"/>
          <w:szCs w:val="24"/>
          <w:lang w:val="es-ES"/>
        </w:rPr>
        <w:t xml:space="preserve"> de 2025</w:t>
      </w:r>
    </w:p>
    <w:p w14:paraId="25890624" w14:textId="77777777" w:rsidR="002051E3" w:rsidRDefault="002051E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br w:type="page"/>
      </w:r>
    </w:p>
    <w:sdt>
      <w:sdtPr>
        <w:rPr>
          <w:lang w:val="es-ES"/>
        </w:rPr>
        <w:id w:val="-2446553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B04CE71" w14:textId="71974968" w:rsidR="00DF516E" w:rsidRPr="007C2EEB" w:rsidRDefault="00DF516E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101194F2" w14:textId="038949FB" w:rsidR="00D02826" w:rsidRDefault="00DF516E" w:rsidP="00DA4777">
          <w:pPr>
            <w:pStyle w:val="TDC2"/>
            <w:rPr>
              <w:rFonts w:eastAsiaTheme="minorEastAsia"/>
              <w:sz w:val="24"/>
              <w:szCs w:val="24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895222" w:history="1">
            <w:r w:rsidR="00D02826">
              <w:rPr>
                <w:rStyle w:val="Hipervnculo"/>
              </w:rPr>
              <w:t>P</w:t>
            </w:r>
            <w:r w:rsidR="00D02826" w:rsidRPr="0011098D">
              <w:rPr>
                <w:rStyle w:val="Hipervnculo"/>
              </w:rPr>
              <w:t>ortada</w:t>
            </w:r>
            <w:r w:rsidR="00D02826">
              <w:rPr>
                <w:webHidden/>
              </w:rPr>
              <w:tab/>
            </w:r>
            <w:r w:rsidR="00D02826">
              <w:rPr>
                <w:webHidden/>
              </w:rPr>
              <w:fldChar w:fldCharType="begin"/>
            </w:r>
            <w:r w:rsidR="00D02826">
              <w:rPr>
                <w:webHidden/>
              </w:rPr>
              <w:instrText xml:space="preserve"> PAGEREF _Toc205895222 \h </w:instrText>
            </w:r>
            <w:r w:rsidR="00D02826">
              <w:rPr>
                <w:webHidden/>
              </w:rPr>
            </w:r>
            <w:r w:rsidR="00D02826">
              <w:rPr>
                <w:webHidden/>
              </w:rPr>
              <w:fldChar w:fldCharType="separate"/>
            </w:r>
            <w:r w:rsidR="007B1E56">
              <w:rPr>
                <w:webHidden/>
              </w:rPr>
              <w:t>1</w:t>
            </w:r>
            <w:r w:rsidR="00D02826">
              <w:rPr>
                <w:webHidden/>
              </w:rPr>
              <w:fldChar w:fldCharType="end"/>
            </w:r>
          </w:hyperlink>
        </w:p>
        <w:p w14:paraId="0D8BC80E" w14:textId="3A642621" w:rsidR="00D02826" w:rsidRPr="00DA4777" w:rsidRDefault="00D02826" w:rsidP="00DA4777">
          <w:pPr>
            <w:pStyle w:val="TDC2"/>
            <w:rPr>
              <w:rFonts w:eastAsiaTheme="minorEastAsia"/>
              <w:sz w:val="24"/>
              <w:szCs w:val="24"/>
              <w:lang w:eastAsia="ko-KR"/>
            </w:rPr>
          </w:pPr>
          <w:hyperlink w:anchor="_Toc205895223" w:history="1">
            <w:r w:rsidRPr="00DA4777">
              <w:rPr>
                <w:rStyle w:val="Hipervnculo"/>
              </w:rPr>
              <w:t>Índice</w:t>
            </w:r>
            <w:r w:rsidRPr="00DA4777">
              <w:rPr>
                <w:webHidden/>
              </w:rPr>
              <w:tab/>
            </w:r>
            <w:r w:rsidRPr="00DA4777">
              <w:rPr>
                <w:webHidden/>
              </w:rPr>
              <w:fldChar w:fldCharType="begin"/>
            </w:r>
            <w:r w:rsidRPr="00DA4777">
              <w:rPr>
                <w:webHidden/>
              </w:rPr>
              <w:instrText xml:space="preserve"> PAGEREF _Toc205895223 \h </w:instrText>
            </w:r>
            <w:r w:rsidRPr="00DA4777">
              <w:rPr>
                <w:webHidden/>
              </w:rPr>
            </w:r>
            <w:r w:rsidRPr="00DA4777">
              <w:rPr>
                <w:webHidden/>
              </w:rPr>
              <w:fldChar w:fldCharType="separate"/>
            </w:r>
            <w:r w:rsidR="007B1E56">
              <w:rPr>
                <w:webHidden/>
              </w:rPr>
              <w:t>2</w:t>
            </w:r>
            <w:r w:rsidRPr="00DA4777">
              <w:rPr>
                <w:webHidden/>
              </w:rPr>
              <w:fldChar w:fldCharType="end"/>
            </w:r>
          </w:hyperlink>
        </w:p>
        <w:p w14:paraId="46868725" w14:textId="36053C3E" w:rsidR="00D02826" w:rsidRDefault="00D02826" w:rsidP="00DA4777">
          <w:pPr>
            <w:pStyle w:val="TDC2"/>
            <w:rPr>
              <w:rFonts w:eastAsiaTheme="minorEastAsia"/>
              <w:sz w:val="24"/>
              <w:szCs w:val="24"/>
              <w:lang w:eastAsia="ko-KR"/>
            </w:rPr>
          </w:pPr>
          <w:hyperlink w:anchor="_Toc205895224" w:history="1">
            <w:r w:rsidRPr="0011098D">
              <w:rPr>
                <w:rStyle w:val="Hipervnculo"/>
              </w:rPr>
              <w:t>Descripción de los marcos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_Toc205895224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B1E5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FB69EA" w14:textId="4564C2C9" w:rsidR="00D02826" w:rsidRDefault="00D02826" w:rsidP="00D02826">
          <w:pPr>
            <w:pStyle w:val="TDC3"/>
            <w:tabs>
              <w:tab w:val="right" w:leader="dot" w:pos="8828"/>
            </w:tabs>
            <w:ind w:left="0"/>
            <w:rPr>
              <w:rFonts w:eastAsiaTheme="minorEastAsia"/>
              <w:noProof/>
              <w:sz w:val="24"/>
              <w:szCs w:val="24"/>
              <w:lang w:eastAsia="ko-KR"/>
            </w:rPr>
          </w:pPr>
          <w:r w:rsidRPr="00D02826">
            <w:rPr>
              <w:rStyle w:val="Hipervnculo"/>
              <w:noProof/>
              <w:u w:val="none"/>
            </w:rPr>
            <w:t xml:space="preserve">    </w:t>
          </w:r>
          <w:r>
            <w:rPr>
              <w:rStyle w:val="Hipervnculo"/>
              <w:noProof/>
              <w:u w:val="none"/>
            </w:rPr>
            <w:t xml:space="preserve"> </w:t>
          </w:r>
          <w:hyperlink w:anchor="_Toc205895225" w:history="1">
            <w:r w:rsidRPr="0011098D">
              <w:rPr>
                <w:rStyle w:val="Hipervnculo"/>
                <w:rFonts w:asciiTheme="majorHAnsi" w:hAnsiTheme="majorHAnsi"/>
                <w:noProof/>
              </w:rPr>
              <w:t>Comparativa: Coexistencia en un contexto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E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F6D3" w14:textId="7A23B13F" w:rsidR="00D02826" w:rsidRDefault="00D02826" w:rsidP="00DA4777">
          <w:pPr>
            <w:pStyle w:val="TDC2"/>
            <w:rPr>
              <w:rFonts w:eastAsiaTheme="minorEastAsia"/>
              <w:sz w:val="24"/>
              <w:szCs w:val="24"/>
              <w:lang w:eastAsia="ko-KR"/>
            </w:rPr>
          </w:pPr>
          <w:hyperlink w:anchor="_Toc205895226" w:history="1">
            <w:r w:rsidRPr="0011098D">
              <w:rPr>
                <w:rStyle w:val="Hipervnculo"/>
              </w:rPr>
              <w:t>Caso de uso: Organización financiera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_Toc205895226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B1E5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67BB4B3" w14:textId="13F2BE13" w:rsidR="00D02826" w:rsidRDefault="00D02826" w:rsidP="00DA4777">
          <w:pPr>
            <w:pStyle w:val="TDC2"/>
            <w:rPr>
              <w:rFonts w:eastAsiaTheme="minorEastAsia"/>
              <w:sz w:val="24"/>
              <w:szCs w:val="24"/>
              <w:lang w:eastAsia="ko-KR"/>
            </w:rPr>
          </w:pPr>
          <w:hyperlink w:anchor="_Toc205895227" w:history="1">
            <w:r w:rsidRPr="0011098D">
              <w:rPr>
                <w:rStyle w:val="Hipervnculo"/>
              </w:rPr>
              <w:t>Referencias Bibliográficas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_Toc205895227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B1E5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403098" w14:textId="12D00BC6" w:rsidR="00D02826" w:rsidRDefault="00DF516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112578A" w14:textId="77777777" w:rsidR="00D02826" w:rsidRDefault="00D02826">
      <w:pPr>
        <w:rPr>
          <w:rFonts w:ascii="Arial" w:hAnsi="Arial" w:cs="Arial"/>
          <w:sz w:val="24"/>
          <w:szCs w:val="24"/>
          <w:lang w:val="es-ES"/>
        </w:rPr>
      </w:pPr>
    </w:p>
    <w:p w14:paraId="033AC53F" w14:textId="7B865314" w:rsidR="00022A83" w:rsidRPr="00D02826" w:rsidRDefault="00D02826" w:rsidP="00D02826">
      <w:pPr>
        <w:pStyle w:val="Ttulo2"/>
        <w:rPr>
          <w:rFonts w:ascii="Calibri" w:hAnsi="Calibri" w:cs="Calibri"/>
          <w:sz w:val="2"/>
          <w:szCs w:val="2"/>
        </w:rPr>
      </w:pPr>
      <w:bookmarkStart w:id="1" w:name="_Toc205895223"/>
      <w:r w:rsidRPr="00D02826">
        <w:rPr>
          <w:rFonts w:ascii="Calibri" w:hAnsi="Calibri" w:cs="Calibri"/>
          <w:sz w:val="2"/>
          <w:szCs w:val="2"/>
          <w:lang w:val="es-ES"/>
        </w:rPr>
        <w:t>Índice</w:t>
      </w:r>
      <w:bookmarkEnd w:id="1"/>
      <w:r w:rsidR="00022A83" w:rsidRPr="00D02826">
        <w:rPr>
          <w:rFonts w:ascii="Calibri" w:hAnsi="Calibri" w:cs="Calibri"/>
          <w:sz w:val="2"/>
          <w:szCs w:val="2"/>
          <w:lang w:val="es-ES"/>
        </w:rPr>
        <w:br w:type="page"/>
      </w:r>
    </w:p>
    <w:p w14:paraId="48BFE99D" w14:textId="34F5657B" w:rsidR="00022A83" w:rsidRPr="006C753B" w:rsidRDefault="00022A83" w:rsidP="006C753B">
      <w:pPr>
        <w:pStyle w:val="Ttulo2"/>
        <w:rPr>
          <w:sz w:val="28"/>
          <w:szCs w:val="28"/>
        </w:rPr>
      </w:pPr>
      <w:bookmarkStart w:id="2" w:name="_Toc205895224"/>
      <w:r w:rsidRPr="006C753B">
        <w:rPr>
          <w:sz w:val="28"/>
          <w:szCs w:val="28"/>
        </w:rPr>
        <w:lastRenderedPageBreak/>
        <w:t>Descripción de los marcos</w:t>
      </w:r>
      <w:bookmarkEnd w:id="2"/>
    </w:p>
    <w:p w14:paraId="5DA62381" w14:textId="60B08479" w:rsidR="0057022A" w:rsidRPr="0057022A" w:rsidRDefault="0057022A" w:rsidP="00097EFE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57022A">
        <w:rPr>
          <w:rFonts w:ascii="Calibri" w:hAnsi="Calibri" w:cs="Calibri"/>
          <w:b/>
          <w:bCs/>
          <w:sz w:val="24"/>
          <w:szCs w:val="24"/>
        </w:rPr>
        <w:t>1</w:t>
      </w:r>
      <w:r w:rsidR="001D6DDE" w:rsidRPr="00A52938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57022A">
        <w:rPr>
          <w:rFonts w:ascii="Calibri" w:hAnsi="Calibri" w:cs="Calibri"/>
          <w:b/>
          <w:bCs/>
          <w:sz w:val="24"/>
          <w:szCs w:val="24"/>
        </w:rPr>
        <w:t>COBIT (Gobernanza y gestión de TI)</w:t>
      </w:r>
      <w:r w:rsidR="00AC5D17">
        <w:rPr>
          <w:rFonts w:ascii="Calibri" w:hAnsi="Calibri" w:cs="Calibri"/>
          <w:b/>
          <w:bCs/>
          <w:sz w:val="24"/>
          <w:szCs w:val="24"/>
        </w:rPr>
        <w:br/>
      </w:r>
      <w:r w:rsidRPr="0057022A">
        <w:rPr>
          <w:rFonts w:ascii="Calibri" w:hAnsi="Calibri" w:cs="Calibri"/>
          <w:sz w:val="24"/>
          <w:szCs w:val="24"/>
        </w:rPr>
        <w:t>COBIT, desarrollado por ISACA, es un marco integral para gobernar</w:t>
      </w:r>
      <w:r w:rsidRPr="0057022A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57022A">
        <w:rPr>
          <w:rFonts w:ascii="Calibri" w:hAnsi="Calibri" w:cs="Calibri"/>
          <w:sz w:val="24"/>
          <w:szCs w:val="24"/>
        </w:rPr>
        <w:t>y</w:t>
      </w:r>
      <w:r w:rsidRPr="0057022A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57022A">
        <w:rPr>
          <w:rFonts w:ascii="Calibri" w:hAnsi="Calibri" w:cs="Calibri"/>
          <w:sz w:val="24"/>
          <w:szCs w:val="24"/>
        </w:rPr>
        <w:t>gestionar la información y la tecnología a nivel empresarial. Proporciona componentes (principios, procesos, roles, políticas, información, cultura, habilidades y servicios) y factores de diseño para construir un sistema de gobernanza “</w:t>
      </w:r>
      <w:proofErr w:type="spellStart"/>
      <w:r w:rsidRPr="0057022A">
        <w:rPr>
          <w:rFonts w:ascii="Calibri" w:hAnsi="Calibri" w:cs="Calibri"/>
          <w:sz w:val="24"/>
          <w:szCs w:val="24"/>
        </w:rPr>
        <w:t>fit</w:t>
      </w:r>
      <w:proofErr w:type="spellEnd"/>
      <w:r w:rsidRPr="0057022A">
        <w:rPr>
          <w:rFonts w:ascii="Calibri" w:hAnsi="Calibri" w:cs="Calibri"/>
          <w:sz w:val="24"/>
          <w:szCs w:val="24"/>
        </w:rPr>
        <w:t>-for-</w:t>
      </w:r>
      <w:proofErr w:type="spellStart"/>
      <w:r w:rsidRPr="0057022A">
        <w:rPr>
          <w:rFonts w:ascii="Calibri" w:hAnsi="Calibri" w:cs="Calibri"/>
          <w:sz w:val="24"/>
          <w:szCs w:val="24"/>
        </w:rPr>
        <w:t>purpose</w:t>
      </w:r>
      <w:proofErr w:type="spellEnd"/>
      <w:r w:rsidRPr="0057022A">
        <w:rPr>
          <w:rFonts w:ascii="Calibri" w:hAnsi="Calibri" w:cs="Calibri"/>
          <w:sz w:val="24"/>
          <w:szCs w:val="24"/>
        </w:rPr>
        <w:t>”, así como objetivos de gestión/gobernanza y métricas para medir desempeño y madurez. Su alcance abarca de extremo a extremo, vinculando metas del negocio con prácticas de TI y cumplimiento.</w:t>
      </w:r>
    </w:p>
    <w:p w14:paraId="43397F87" w14:textId="571A3534" w:rsidR="00104147" w:rsidRPr="00AC5D17" w:rsidRDefault="00AC5D17" w:rsidP="00097EFE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 w:rsidR="001D6DDE" w:rsidRPr="001D6DDE">
        <w:rPr>
          <w:rFonts w:ascii="Calibri" w:hAnsi="Calibri" w:cs="Calibri"/>
          <w:b/>
          <w:bCs/>
          <w:sz w:val="24"/>
          <w:szCs w:val="24"/>
        </w:rPr>
        <w:t>2 TOGAF (Arquitectura empresarial)</w:t>
      </w:r>
      <w:r>
        <w:rPr>
          <w:rFonts w:ascii="Calibri" w:hAnsi="Calibri" w:cs="Calibri"/>
          <w:b/>
          <w:bCs/>
          <w:sz w:val="24"/>
          <w:szCs w:val="24"/>
        </w:rPr>
        <w:br/>
      </w:r>
      <w:r w:rsidR="001D6DDE" w:rsidRPr="001D6DDE">
        <w:rPr>
          <w:rFonts w:ascii="Calibri" w:hAnsi="Calibri" w:cs="Calibri"/>
          <w:sz w:val="24"/>
          <w:szCs w:val="24"/>
        </w:rPr>
        <w:t xml:space="preserve">TOGAF, mantenido por The Open </w:t>
      </w:r>
      <w:proofErr w:type="spellStart"/>
      <w:r w:rsidR="001D6DDE" w:rsidRPr="001D6DDE">
        <w:rPr>
          <w:rFonts w:ascii="Calibri" w:hAnsi="Calibri" w:cs="Calibri"/>
          <w:sz w:val="24"/>
          <w:szCs w:val="24"/>
        </w:rPr>
        <w:t>Group</w:t>
      </w:r>
      <w:proofErr w:type="spellEnd"/>
      <w:r w:rsidR="001D6DDE" w:rsidRPr="001D6DDE">
        <w:rPr>
          <w:rFonts w:ascii="Calibri" w:hAnsi="Calibri" w:cs="Calibri"/>
          <w:sz w:val="24"/>
          <w:szCs w:val="24"/>
        </w:rPr>
        <w:t>, ofrece una metodología de arquitectura empresarial basada en el ciclo ADM (</w:t>
      </w:r>
      <w:proofErr w:type="spellStart"/>
      <w:r w:rsidR="001D6DDE" w:rsidRPr="001D6DDE">
        <w:rPr>
          <w:rFonts w:ascii="Calibri" w:hAnsi="Calibri" w:cs="Calibri"/>
          <w:sz w:val="24"/>
          <w:szCs w:val="24"/>
        </w:rPr>
        <w:t>Architecture</w:t>
      </w:r>
      <w:proofErr w:type="spellEnd"/>
      <w:r w:rsidR="001D6DDE" w:rsidRPr="001D6DD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1D6DDE" w:rsidRPr="001D6DDE">
        <w:rPr>
          <w:rFonts w:ascii="Calibri" w:hAnsi="Calibri" w:cs="Calibri"/>
          <w:sz w:val="24"/>
          <w:szCs w:val="24"/>
        </w:rPr>
        <w:t>Development</w:t>
      </w:r>
      <w:proofErr w:type="spellEnd"/>
      <w:r w:rsidR="001D6DDE" w:rsidRPr="001D6DD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1D6DDE" w:rsidRPr="001D6DDE">
        <w:rPr>
          <w:rFonts w:ascii="Calibri" w:hAnsi="Calibri" w:cs="Calibri"/>
          <w:sz w:val="24"/>
          <w:szCs w:val="24"/>
        </w:rPr>
        <w:t>Method</w:t>
      </w:r>
      <w:proofErr w:type="spellEnd"/>
      <w:r w:rsidR="001D6DDE" w:rsidRPr="001D6DDE">
        <w:rPr>
          <w:rFonts w:ascii="Calibri" w:hAnsi="Calibri" w:cs="Calibri"/>
          <w:sz w:val="24"/>
          <w:szCs w:val="24"/>
        </w:rPr>
        <w:t>) para ir desde la visión y requisitos hasta la implementación y la gobernanza del cambio. La 10ª edición actualiza guías, buenas prácticas y artefactos para facilitar adopción, análisis de brechas y construcción de “</w:t>
      </w:r>
      <w:proofErr w:type="spellStart"/>
      <w:r w:rsidR="001D6DDE" w:rsidRPr="001D6DDE">
        <w:rPr>
          <w:rFonts w:ascii="Calibri" w:hAnsi="Calibri" w:cs="Calibri"/>
          <w:sz w:val="24"/>
          <w:szCs w:val="24"/>
        </w:rPr>
        <w:t>roadmaps</w:t>
      </w:r>
      <w:proofErr w:type="spellEnd"/>
      <w:r w:rsidR="001D6DDE" w:rsidRPr="001D6DDE">
        <w:rPr>
          <w:rFonts w:ascii="Calibri" w:hAnsi="Calibri" w:cs="Calibri"/>
          <w:sz w:val="24"/>
          <w:szCs w:val="24"/>
        </w:rPr>
        <w:t>” de transformación que integran negocio, datos, aplicaciones y tecnología (BDAT).</w:t>
      </w:r>
    </w:p>
    <w:p w14:paraId="78A00DB2" w14:textId="2377DF23" w:rsidR="00097EFE" w:rsidRPr="00097EFE" w:rsidRDefault="00AC5D17" w:rsidP="00097EFE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 w:rsidR="00097EFE" w:rsidRPr="00097EFE">
        <w:rPr>
          <w:rFonts w:ascii="Calibri" w:hAnsi="Calibri" w:cs="Calibri"/>
          <w:b/>
          <w:bCs/>
          <w:sz w:val="24"/>
          <w:szCs w:val="24"/>
        </w:rPr>
        <w:t>3 SABSA (Arquitectura de seguridad basada en riesgos)</w:t>
      </w:r>
      <w:r>
        <w:rPr>
          <w:rFonts w:ascii="Calibri" w:hAnsi="Calibri" w:cs="Calibri"/>
          <w:b/>
          <w:bCs/>
          <w:sz w:val="24"/>
          <w:szCs w:val="24"/>
        </w:rPr>
        <w:br/>
      </w:r>
      <w:r w:rsidR="00097EFE" w:rsidRPr="00097EFE">
        <w:rPr>
          <w:rFonts w:ascii="Calibri" w:hAnsi="Calibri" w:cs="Calibri"/>
          <w:sz w:val="24"/>
          <w:szCs w:val="24"/>
        </w:rPr>
        <w:t xml:space="preserve">SABSA es una metodología probada para generar arquitecturas de seguridad impulsadas por el negocio y el riesgo, con trazabilidad desde atributos/objetivos de negocio hasta controles y componentes técnicos. Se usa tanto a nivel </w:t>
      </w:r>
      <w:proofErr w:type="spellStart"/>
      <w:r w:rsidR="00097EFE" w:rsidRPr="00097EFE">
        <w:rPr>
          <w:rFonts w:ascii="Calibri" w:hAnsi="Calibri" w:cs="Calibri"/>
          <w:sz w:val="24"/>
          <w:szCs w:val="24"/>
        </w:rPr>
        <w:t>enterprise</w:t>
      </w:r>
      <w:proofErr w:type="spellEnd"/>
      <w:r w:rsidR="00097EFE" w:rsidRPr="00097EFE">
        <w:rPr>
          <w:rFonts w:ascii="Calibri" w:hAnsi="Calibri" w:cs="Calibri"/>
          <w:sz w:val="24"/>
          <w:szCs w:val="24"/>
        </w:rPr>
        <w:t xml:space="preserve"> como de soluciones, y se integra con métodos de arquitectura como TOGAF y marcos de gobierno como COBIT para alinear seguridad, gestión de riesgos y TI.</w:t>
      </w:r>
    </w:p>
    <w:p w14:paraId="5EE4F410" w14:textId="48B813FC" w:rsidR="00097EFE" w:rsidRDefault="00AC5D17" w:rsidP="00097EFE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 w:rsidR="00097EFE" w:rsidRPr="00097EFE">
        <w:rPr>
          <w:rFonts w:ascii="Calibri" w:hAnsi="Calibri" w:cs="Calibri"/>
          <w:b/>
          <w:bCs/>
          <w:sz w:val="24"/>
          <w:szCs w:val="24"/>
        </w:rPr>
        <w:t xml:space="preserve">4 NIST </w:t>
      </w:r>
      <w:proofErr w:type="spellStart"/>
      <w:r w:rsidR="00097EFE" w:rsidRPr="00097EFE">
        <w:rPr>
          <w:rFonts w:ascii="Calibri" w:hAnsi="Calibri" w:cs="Calibri"/>
          <w:b/>
          <w:bCs/>
          <w:sz w:val="24"/>
          <w:szCs w:val="24"/>
        </w:rPr>
        <w:t>Cybersecurity</w:t>
      </w:r>
      <w:proofErr w:type="spellEnd"/>
      <w:r w:rsidR="00097EFE" w:rsidRPr="00097EFE">
        <w:rPr>
          <w:rFonts w:ascii="Calibri" w:hAnsi="Calibri" w:cs="Calibri"/>
          <w:b/>
          <w:bCs/>
          <w:sz w:val="24"/>
          <w:szCs w:val="24"/>
        </w:rPr>
        <w:t xml:space="preserve"> Framework (CSF)</w:t>
      </w:r>
      <w:r>
        <w:rPr>
          <w:rFonts w:ascii="Calibri" w:hAnsi="Calibri" w:cs="Calibri"/>
          <w:b/>
          <w:bCs/>
          <w:sz w:val="24"/>
          <w:szCs w:val="24"/>
        </w:rPr>
        <w:br/>
      </w:r>
      <w:r w:rsidR="00097EFE" w:rsidRPr="00097EFE">
        <w:rPr>
          <w:rFonts w:ascii="Calibri" w:hAnsi="Calibri" w:cs="Calibri"/>
          <w:sz w:val="24"/>
          <w:szCs w:val="24"/>
        </w:rPr>
        <w:t>El NIST CSF 2.0 (2024) guía la gestión del riesgo de ciberseguridad con un lenguaje común y cinco funciones: Identificar, Proteger, Detectar, Responder y Recuperar; amplía alcances (por ejemplo, cadena de suministro) y refuerza la alineación con riesgos y gobierno corporativo. Incluye perfiles, niveles (</w:t>
      </w:r>
      <w:proofErr w:type="spellStart"/>
      <w:r w:rsidR="00097EFE" w:rsidRPr="00097EFE">
        <w:rPr>
          <w:rFonts w:ascii="Calibri" w:hAnsi="Calibri" w:cs="Calibri"/>
          <w:sz w:val="24"/>
          <w:szCs w:val="24"/>
        </w:rPr>
        <w:t>tiers</w:t>
      </w:r>
      <w:proofErr w:type="spellEnd"/>
      <w:r w:rsidR="00097EFE" w:rsidRPr="00097EFE">
        <w:rPr>
          <w:rFonts w:ascii="Calibri" w:hAnsi="Calibri" w:cs="Calibri"/>
          <w:sz w:val="24"/>
          <w:szCs w:val="24"/>
        </w:rPr>
        <w:t xml:space="preserve">) y resultados de alto nivel para cualquier tamaño/sector. </w:t>
      </w:r>
    </w:p>
    <w:p w14:paraId="1C8570F1" w14:textId="77777777" w:rsidR="00D67D62" w:rsidRPr="00097EFE" w:rsidRDefault="00D67D62" w:rsidP="00097EFE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42A06659" w14:textId="77777777" w:rsidR="00D67D62" w:rsidRPr="006C753B" w:rsidRDefault="00D67D62" w:rsidP="00D67D62">
      <w:pPr>
        <w:pStyle w:val="Ttulo3"/>
        <w:rPr>
          <w:rFonts w:asciiTheme="majorHAnsi" w:hAnsiTheme="majorHAnsi"/>
        </w:rPr>
      </w:pPr>
      <w:bookmarkStart w:id="3" w:name="_Toc205895225"/>
      <w:r w:rsidRPr="006C753B">
        <w:rPr>
          <w:rFonts w:asciiTheme="majorHAnsi" w:hAnsiTheme="majorHAnsi"/>
        </w:rPr>
        <w:t>Comparativa: Coexistencia en un contexto de seguridad</w:t>
      </w:r>
      <w:bookmarkEnd w:id="3"/>
    </w:p>
    <w:p w14:paraId="1E833FBF" w14:textId="77777777" w:rsidR="00D67D62" w:rsidRPr="00D67D62" w:rsidRDefault="00D67D62" w:rsidP="00D67D62">
      <w:p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sz w:val="24"/>
          <w:szCs w:val="24"/>
        </w:rPr>
        <w:t>La coexistencia de estos cuatro marcos es posible cuando se conciben como capas interdependientes dentro de un sistema integral de gestión de la seguridad, donde cada uno cumple un rol específico y complementario.</w:t>
      </w:r>
    </w:p>
    <w:p w14:paraId="2C314CF1" w14:textId="77777777" w:rsidR="00D67D62" w:rsidRPr="00D67D62" w:rsidRDefault="00D67D62" w:rsidP="00D67D62">
      <w:p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sz w:val="24"/>
          <w:szCs w:val="24"/>
        </w:rPr>
        <w:t>En la fase estratégica, SABSA establece los atributos y requisitos de seguridad alineados al negocio, identificando riesgos y definiendo criterios de aceptación claros. Esta fase asegura que toda medida de seguridad esté justificada por necesidades reales y medibles.</w:t>
      </w:r>
    </w:p>
    <w:p w14:paraId="7A61891F" w14:textId="77777777" w:rsidR="00D67D62" w:rsidRPr="00D67D62" w:rsidRDefault="00D67D62" w:rsidP="00D67D62">
      <w:p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sz w:val="24"/>
          <w:szCs w:val="24"/>
        </w:rPr>
        <w:lastRenderedPageBreak/>
        <w:t>En la fase de gobernanza, COBIT traduce esos requisitos en políticas, roles, procesos y métricas, garantizando un marco de control que permita medir el desempeño, priorizar inversiones y asegurar el cumplimiento regulatorio.</w:t>
      </w:r>
    </w:p>
    <w:p w14:paraId="0AD666B9" w14:textId="77777777" w:rsidR="00D67D62" w:rsidRPr="00D67D62" w:rsidRDefault="00D67D62" w:rsidP="00D67D62">
      <w:p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sz w:val="24"/>
          <w:szCs w:val="24"/>
        </w:rPr>
        <w:t>En la fase de diseño y planificación, TOGAF toma los requisitos y directrices de gobernanza para integrarlos en la arquitectura empresarial. Utilizando el ciclo ADM, diseña arquitecturas coherentes y planes de transición que incorporan la seguridad como un elemento central.</w:t>
      </w:r>
    </w:p>
    <w:p w14:paraId="5E2F6F71" w14:textId="77777777" w:rsidR="00D67D62" w:rsidRPr="00D67D62" w:rsidRDefault="00D67D62" w:rsidP="00D67D62">
      <w:p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sz w:val="24"/>
          <w:szCs w:val="24"/>
        </w:rPr>
        <w:t>En la fase operativa, NIST CSF implementa los controles y capacidades necesarios para proteger activos, detectar incidentes, responder y recuperarse. Además, sus resultados operativos retroalimentan a COBIT para ajustar la gobernanza y a SABSA para refinar los requisitos estratégicos.</w:t>
      </w:r>
    </w:p>
    <w:p w14:paraId="5CD330A5" w14:textId="77777777" w:rsidR="00D67D62" w:rsidRPr="00D67D62" w:rsidRDefault="00D67D62" w:rsidP="00D67D62">
      <w:p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sz w:val="24"/>
          <w:szCs w:val="24"/>
        </w:rPr>
        <w:t>Este enfoque crea un flujo integrado y cíclico:</w:t>
      </w:r>
    </w:p>
    <w:p w14:paraId="2CFE07AE" w14:textId="77777777" w:rsidR="00D67D62" w:rsidRPr="00D67D62" w:rsidRDefault="00D67D62" w:rsidP="00D67D62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b/>
          <w:bCs/>
          <w:sz w:val="24"/>
          <w:szCs w:val="24"/>
        </w:rPr>
        <w:t>Definición de requisitos estratégicos</w:t>
      </w:r>
      <w:r w:rsidRPr="00D67D62">
        <w:rPr>
          <w:rFonts w:ascii="Calibri" w:hAnsi="Calibri" w:cs="Calibri"/>
          <w:sz w:val="24"/>
          <w:szCs w:val="24"/>
        </w:rPr>
        <w:t xml:space="preserve"> (SABSA).</w:t>
      </w:r>
    </w:p>
    <w:p w14:paraId="28795A9B" w14:textId="77777777" w:rsidR="00D67D62" w:rsidRPr="00D67D62" w:rsidRDefault="00D67D62" w:rsidP="00D67D62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b/>
          <w:bCs/>
          <w:sz w:val="24"/>
          <w:szCs w:val="24"/>
        </w:rPr>
        <w:t>Gobernanza y control</w:t>
      </w:r>
      <w:r w:rsidRPr="00D67D62">
        <w:rPr>
          <w:rFonts w:ascii="Calibri" w:hAnsi="Calibri" w:cs="Calibri"/>
          <w:sz w:val="24"/>
          <w:szCs w:val="24"/>
        </w:rPr>
        <w:t xml:space="preserve"> (COBIT).</w:t>
      </w:r>
    </w:p>
    <w:p w14:paraId="5295AF38" w14:textId="77777777" w:rsidR="00D67D62" w:rsidRPr="00D67D62" w:rsidRDefault="00D67D62" w:rsidP="00D67D62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b/>
          <w:bCs/>
          <w:sz w:val="24"/>
          <w:szCs w:val="24"/>
        </w:rPr>
        <w:t>Diseño arquitectónico y planificación</w:t>
      </w:r>
      <w:r w:rsidRPr="00D67D62">
        <w:rPr>
          <w:rFonts w:ascii="Calibri" w:hAnsi="Calibri" w:cs="Calibri"/>
          <w:sz w:val="24"/>
          <w:szCs w:val="24"/>
        </w:rPr>
        <w:t xml:space="preserve"> (TOGAF).</w:t>
      </w:r>
    </w:p>
    <w:p w14:paraId="536FD90D" w14:textId="77777777" w:rsidR="00D67D62" w:rsidRPr="00D67D62" w:rsidRDefault="00D67D62" w:rsidP="00D67D62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b/>
          <w:bCs/>
          <w:sz w:val="24"/>
          <w:szCs w:val="24"/>
        </w:rPr>
        <w:t>Operación y mejora continua</w:t>
      </w:r>
      <w:r w:rsidRPr="00D67D62">
        <w:rPr>
          <w:rFonts w:ascii="Calibri" w:hAnsi="Calibri" w:cs="Calibri"/>
          <w:sz w:val="24"/>
          <w:szCs w:val="24"/>
        </w:rPr>
        <w:t xml:space="preserve"> (NIST CSF).</w:t>
      </w:r>
    </w:p>
    <w:p w14:paraId="04E69C2C" w14:textId="77777777" w:rsidR="00D67D62" w:rsidRPr="00D67D62" w:rsidRDefault="00D67D62" w:rsidP="00D67D62">
      <w:pPr>
        <w:spacing w:line="240" w:lineRule="auto"/>
        <w:rPr>
          <w:rFonts w:ascii="Calibri" w:hAnsi="Calibri" w:cs="Calibri"/>
          <w:sz w:val="24"/>
          <w:szCs w:val="24"/>
        </w:rPr>
      </w:pPr>
      <w:r w:rsidRPr="00D67D62">
        <w:rPr>
          <w:rFonts w:ascii="Calibri" w:hAnsi="Calibri" w:cs="Calibri"/>
          <w:sz w:val="24"/>
          <w:szCs w:val="24"/>
        </w:rPr>
        <w:t>Con esta integración, la seguridad de la información deja de ser un conjunto de prácticas aisladas para convertirse en un sistema coherente, trazable y adaptable, capaz de responder a cambios en el entorno de amenazas y en los objetivos corporativos.</w:t>
      </w:r>
    </w:p>
    <w:p w14:paraId="0E80C050" w14:textId="261B00E6" w:rsidR="006C753B" w:rsidRPr="006C753B" w:rsidRDefault="006C753B" w:rsidP="006C753B">
      <w:pPr>
        <w:pStyle w:val="Ttulo2"/>
        <w:rPr>
          <w:sz w:val="28"/>
          <w:szCs w:val="28"/>
        </w:rPr>
      </w:pPr>
      <w:bookmarkStart w:id="4" w:name="_Toc205895226"/>
      <w:r w:rsidRPr="006C753B">
        <w:rPr>
          <w:sz w:val="28"/>
          <w:szCs w:val="28"/>
        </w:rPr>
        <w:t>Caso de uso: Organización financiera</w:t>
      </w:r>
      <w:bookmarkEnd w:id="4"/>
    </w:p>
    <w:p w14:paraId="7C5E6C0A" w14:textId="77777777" w:rsidR="006C753B" w:rsidRPr="006C753B" w:rsidRDefault="006C753B" w:rsidP="006C753B">
      <w:pPr>
        <w:spacing w:line="240" w:lineRule="auto"/>
        <w:rPr>
          <w:rFonts w:ascii="Calibri" w:hAnsi="Calibri" w:cs="Calibri"/>
          <w:sz w:val="24"/>
          <w:szCs w:val="24"/>
        </w:rPr>
      </w:pPr>
      <w:r w:rsidRPr="006C753B">
        <w:rPr>
          <w:rFonts w:ascii="Calibri" w:hAnsi="Calibri" w:cs="Calibri"/>
          <w:b/>
          <w:bCs/>
          <w:sz w:val="24"/>
          <w:szCs w:val="24"/>
        </w:rPr>
        <w:t>Contexto:</w:t>
      </w:r>
      <w:r w:rsidRPr="006C753B">
        <w:rPr>
          <w:rFonts w:ascii="Calibri" w:hAnsi="Calibri" w:cs="Calibri"/>
          <w:sz w:val="24"/>
          <w:szCs w:val="24"/>
        </w:rPr>
        <w:t xml:space="preserve"> Una institución financiera busca fortalecer su postura de seguridad ante crecientes amenazas y regulaciones estrictas.</w:t>
      </w:r>
    </w:p>
    <w:p w14:paraId="4D63B790" w14:textId="77777777" w:rsidR="006C753B" w:rsidRPr="006C753B" w:rsidRDefault="006C753B" w:rsidP="006C753B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C753B">
        <w:rPr>
          <w:rFonts w:ascii="Calibri" w:hAnsi="Calibri" w:cs="Calibri"/>
          <w:b/>
          <w:bCs/>
          <w:sz w:val="24"/>
          <w:szCs w:val="24"/>
        </w:rPr>
        <w:t>SABSA</w:t>
      </w:r>
      <w:r w:rsidRPr="006C753B">
        <w:rPr>
          <w:rFonts w:ascii="Calibri" w:hAnsi="Calibri" w:cs="Calibri"/>
          <w:sz w:val="24"/>
          <w:szCs w:val="24"/>
        </w:rPr>
        <w:t>: Identifica como atributos críticos la confidencialidad de datos de clientes, la integridad de las transacciones y la disponibilidad de servicios 24/7. Define escenarios de riesgo y requisitos específicos para proteger estos activos.</w:t>
      </w:r>
    </w:p>
    <w:p w14:paraId="0585F9F0" w14:textId="77777777" w:rsidR="006C753B" w:rsidRPr="006C753B" w:rsidRDefault="006C753B" w:rsidP="006C753B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C753B">
        <w:rPr>
          <w:rFonts w:ascii="Calibri" w:hAnsi="Calibri" w:cs="Calibri"/>
          <w:b/>
          <w:bCs/>
          <w:sz w:val="24"/>
          <w:szCs w:val="24"/>
        </w:rPr>
        <w:t>COBIT</w:t>
      </w:r>
      <w:r w:rsidRPr="006C753B">
        <w:rPr>
          <w:rFonts w:ascii="Calibri" w:hAnsi="Calibri" w:cs="Calibri"/>
          <w:sz w:val="24"/>
          <w:szCs w:val="24"/>
        </w:rPr>
        <w:t xml:space="preserve">: Establece políticas y procesos para el tratamiento de incidentes, define roles claros (CISO, arquitecto empresarial, responsables de procesos) y fija métricas de desempeño como tiempos de respuesta y cumplimiento de </w:t>
      </w:r>
      <w:proofErr w:type="spellStart"/>
      <w:r w:rsidRPr="006C753B">
        <w:rPr>
          <w:rFonts w:ascii="Calibri" w:hAnsi="Calibri" w:cs="Calibri"/>
          <w:sz w:val="24"/>
          <w:szCs w:val="24"/>
        </w:rPr>
        <w:t>SLAs</w:t>
      </w:r>
      <w:proofErr w:type="spellEnd"/>
      <w:r w:rsidRPr="006C753B">
        <w:rPr>
          <w:rFonts w:ascii="Calibri" w:hAnsi="Calibri" w:cs="Calibri"/>
          <w:sz w:val="24"/>
          <w:szCs w:val="24"/>
        </w:rPr>
        <w:t>.</w:t>
      </w:r>
    </w:p>
    <w:p w14:paraId="7FD231DE" w14:textId="77777777" w:rsidR="006C753B" w:rsidRPr="006C753B" w:rsidRDefault="006C753B" w:rsidP="006C753B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C753B">
        <w:rPr>
          <w:rFonts w:ascii="Calibri" w:hAnsi="Calibri" w:cs="Calibri"/>
          <w:b/>
          <w:bCs/>
          <w:sz w:val="24"/>
          <w:szCs w:val="24"/>
        </w:rPr>
        <w:t>TOGAF</w:t>
      </w:r>
      <w:r w:rsidRPr="006C753B">
        <w:rPr>
          <w:rFonts w:ascii="Calibri" w:hAnsi="Calibri" w:cs="Calibri"/>
          <w:sz w:val="24"/>
          <w:szCs w:val="24"/>
        </w:rPr>
        <w:t xml:space="preserve">: Integra los requisitos de SABSA y las políticas de COBIT en la arquitectura empresarial, diseñando soluciones de autenticación </w:t>
      </w:r>
      <w:proofErr w:type="spellStart"/>
      <w:r w:rsidRPr="006C753B">
        <w:rPr>
          <w:rFonts w:ascii="Calibri" w:hAnsi="Calibri" w:cs="Calibri"/>
          <w:sz w:val="24"/>
          <w:szCs w:val="24"/>
        </w:rPr>
        <w:t>multifactor</w:t>
      </w:r>
      <w:proofErr w:type="spellEnd"/>
      <w:r w:rsidRPr="006C753B">
        <w:rPr>
          <w:rFonts w:ascii="Calibri" w:hAnsi="Calibri" w:cs="Calibri"/>
          <w:sz w:val="24"/>
          <w:szCs w:val="24"/>
        </w:rPr>
        <w:t>, cifrado de datos y monitoreo centralizado.</w:t>
      </w:r>
    </w:p>
    <w:p w14:paraId="3DD00F01" w14:textId="77777777" w:rsidR="006C753B" w:rsidRPr="006C753B" w:rsidRDefault="006C753B" w:rsidP="006C753B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C753B">
        <w:rPr>
          <w:rFonts w:ascii="Calibri" w:hAnsi="Calibri" w:cs="Calibri"/>
          <w:b/>
          <w:bCs/>
          <w:sz w:val="24"/>
          <w:szCs w:val="24"/>
        </w:rPr>
        <w:t>NIST CSF</w:t>
      </w:r>
      <w:r w:rsidRPr="006C753B">
        <w:rPr>
          <w:rFonts w:ascii="Calibri" w:hAnsi="Calibri" w:cs="Calibri"/>
          <w:sz w:val="24"/>
          <w:szCs w:val="24"/>
        </w:rPr>
        <w:t>: Implementa las funciones de protección, detección y respuesta, define procedimientos de recuperación ante incidentes y establece métricas como el tiempo medio de detección (MTTD) y tiempo medio de recuperación (MTTR).</w:t>
      </w:r>
    </w:p>
    <w:p w14:paraId="71DC6EDB" w14:textId="77777777" w:rsidR="006C753B" w:rsidRPr="006C753B" w:rsidRDefault="006C753B" w:rsidP="006C753B">
      <w:pPr>
        <w:spacing w:line="240" w:lineRule="auto"/>
        <w:rPr>
          <w:rFonts w:ascii="Calibri" w:hAnsi="Calibri" w:cs="Calibri"/>
          <w:sz w:val="24"/>
          <w:szCs w:val="24"/>
        </w:rPr>
      </w:pPr>
      <w:r w:rsidRPr="006C753B">
        <w:rPr>
          <w:rFonts w:ascii="Calibri" w:hAnsi="Calibri" w:cs="Calibri"/>
          <w:sz w:val="24"/>
          <w:szCs w:val="24"/>
        </w:rPr>
        <w:t>El resultado es un sistema de seguridad cohesionado, con trazabilidad desde los objetivos estratégicos hasta la operación diaria.</w:t>
      </w:r>
    </w:p>
    <w:p w14:paraId="20989990" w14:textId="19D8F144" w:rsidR="00097EFE" w:rsidRDefault="00652EBC" w:rsidP="00652EBC">
      <w:pPr>
        <w:pStyle w:val="Ttulo2"/>
        <w:rPr>
          <w:sz w:val="28"/>
          <w:szCs w:val="28"/>
        </w:rPr>
      </w:pPr>
      <w:bookmarkStart w:id="5" w:name="_Toc205895227"/>
      <w:r w:rsidRPr="00652EBC">
        <w:rPr>
          <w:sz w:val="28"/>
          <w:szCs w:val="28"/>
        </w:rPr>
        <w:lastRenderedPageBreak/>
        <w:t>Referencias Bibliográficas</w:t>
      </w:r>
      <w:bookmarkEnd w:id="5"/>
    </w:p>
    <w:p w14:paraId="4C31A489" w14:textId="1BB5701B" w:rsidR="006867CF" w:rsidRPr="006867CF" w:rsidRDefault="006867CF" w:rsidP="006867CF">
      <w:pPr>
        <w:rPr>
          <w:rFonts w:ascii="Calibri" w:hAnsi="Calibri" w:cs="Calibri"/>
          <w:sz w:val="24"/>
          <w:szCs w:val="24"/>
        </w:rPr>
      </w:pPr>
      <w:r w:rsidRPr="006867CF">
        <w:rPr>
          <w:rFonts w:ascii="Calibri" w:hAnsi="Calibri" w:cs="Calibri"/>
          <w:sz w:val="24"/>
          <w:szCs w:val="24"/>
        </w:rPr>
        <w:t>Duque, F. J. V. (2021). Sistema de gestión de seguridad de la información basado en SABSA y TOGAF. Universidad Nacional de Colombia. Recuperado de https://fadmon.unal.edu.co/fileadmin/user_upload/extension/cursos/imagenes_cursos/digitales_septiembre/sistema_de_gestion_de_seguridad-1.pdf</w:t>
      </w:r>
    </w:p>
    <w:p w14:paraId="3F8475AC" w14:textId="18035482" w:rsidR="006867CF" w:rsidRPr="006867CF" w:rsidRDefault="006867CF" w:rsidP="006867CF">
      <w:pPr>
        <w:rPr>
          <w:rFonts w:ascii="Calibri" w:hAnsi="Calibri" w:cs="Calibri"/>
          <w:sz w:val="24"/>
          <w:szCs w:val="24"/>
        </w:rPr>
      </w:pPr>
      <w:r w:rsidRPr="006867CF">
        <w:rPr>
          <w:rFonts w:ascii="Calibri" w:hAnsi="Calibri" w:cs="Calibri"/>
          <w:sz w:val="24"/>
          <w:szCs w:val="24"/>
        </w:rPr>
        <w:t xml:space="preserve">ISACA. (2018). Arquitectura de seguridad de la información: Evaluación de brechas y priorización. ISACA </w:t>
      </w:r>
      <w:proofErr w:type="spellStart"/>
      <w:r w:rsidRPr="006867CF">
        <w:rPr>
          <w:rFonts w:ascii="Calibri" w:hAnsi="Calibri" w:cs="Calibri"/>
          <w:sz w:val="24"/>
          <w:szCs w:val="24"/>
        </w:rPr>
        <w:t>Journal</w:t>
      </w:r>
      <w:proofErr w:type="spellEnd"/>
      <w:r w:rsidRPr="006867CF">
        <w:rPr>
          <w:rFonts w:ascii="Calibri" w:hAnsi="Calibri" w:cs="Calibri"/>
          <w:sz w:val="24"/>
          <w:szCs w:val="24"/>
        </w:rPr>
        <w:t>, Vol. 2. Recuperado de https://www.isaca.org/es-es/resources/isaca-journal/issues/2018/volume-2/information-security-architecture-gap-assessment-and-prioritization</w:t>
      </w:r>
    </w:p>
    <w:p w14:paraId="1E61ADA9" w14:textId="57A31E53" w:rsidR="00652EBC" w:rsidRPr="00652EBC" w:rsidRDefault="006867CF" w:rsidP="006867CF">
      <w:pPr>
        <w:rPr>
          <w:rFonts w:ascii="Calibri" w:hAnsi="Calibri" w:cs="Calibri"/>
          <w:sz w:val="24"/>
          <w:szCs w:val="24"/>
        </w:rPr>
      </w:pPr>
      <w:r w:rsidRPr="006867CF">
        <w:rPr>
          <w:rFonts w:ascii="Calibri" w:hAnsi="Calibri" w:cs="Calibri"/>
          <w:sz w:val="24"/>
          <w:szCs w:val="24"/>
        </w:rPr>
        <w:t>Jiménez León, W. H. (2025). Modelo de integración de la arquitectura de seguridad empresarial. Universidad Distrital Francisco José de Caldas. Recuperado de https://repository.udistrital.edu.co/bitstreams/e0bde558-916f-4990-98c2-71934edbc017/download</w:t>
      </w:r>
    </w:p>
    <w:sectPr w:rsidR="00652EBC" w:rsidRPr="00652E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64087" w14:textId="77777777" w:rsidR="001137E6" w:rsidRDefault="001137E6" w:rsidP="00446987">
      <w:pPr>
        <w:spacing w:after="0" w:line="240" w:lineRule="auto"/>
      </w:pPr>
      <w:r>
        <w:separator/>
      </w:r>
    </w:p>
  </w:endnote>
  <w:endnote w:type="continuationSeparator" w:id="0">
    <w:p w14:paraId="46D44DA3" w14:textId="77777777" w:rsidR="001137E6" w:rsidRDefault="001137E6" w:rsidP="00446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1BEF" w14:textId="77777777" w:rsidR="0091110C" w:rsidRDefault="009111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3049904"/>
      <w:docPartObj>
        <w:docPartGallery w:val="Page Numbers (Bottom of Page)"/>
        <w:docPartUnique/>
      </w:docPartObj>
    </w:sdtPr>
    <w:sdtContent>
      <w:p w14:paraId="187B5466" w14:textId="0E028DC7" w:rsidR="00446987" w:rsidRDefault="004469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290633" w14:textId="77777777" w:rsidR="00446987" w:rsidRDefault="0044698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442A" w14:textId="77777777" w:rsidR="0091110C" w:rsidRDefault="009111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C4B3" w14:textId="77777777" w:rsidR="001137E6" w:rsidRDefault="001137E6" w:rsidP="00446987">
      <w:pPr>
        <w:spacing w:after="0" w:line="240" w:lineRule="auto"/>
      </w:pPr>
      <w:r>
        <w:separator/>
      </w:r>
    </w:p>
  </w:footnote>
  <w:footnote w:type="continuationSeparator" w:id="0">
    <w:p w14:paraId="45520026" w14:textId="77777777" w:rsidR="001137E6" w:rsidRDefault="001137E6" w:rsidP="00446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B3101" w14:textId="77777777" w:rsidR="0091110C" w:rsidRDefault="0091110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D53F" w14:textId="77777777" w:rsidR="0091110C" w:rsidRDefault="0091110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D1638" w14:textId="77777777" w:rsidR="0091110C" w:rsidRDefault="009111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77A"/>
    <w:multiLevelType w:val="multilevel"/>
    <w:tmpl w:val="525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63FEB"/>
    <w:multiLevelType w:val="hybridMultilevel"/>
    <w:tmpl w:val="C3BEF0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C4FA8"/>
    <w:multiLevelType w:val="multilevel"/>
    <w:tmpl w:val="65D0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7535E"/>
    <w:multiLevelType w:val="multilevel"/>
    <w:tmpl w:val="FD6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5791C"/>
    <w:multiLevelType w:val="multilevel"/>
    <w:tmpl w:val="F6A0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52527"/>
    <w:multiLevelType w:val="multilevel"/>
    <w:tmpl w:val="F9DA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0F262D"/>
    <w:multiLevelType w:val="multilevel"/>
    <w:tmpl w:val="AE0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2520">
    <w:abstractNumId w:val="3"/>
  </w:num>
  <w:num w:numId="2" w16cid:durableId="1822114482">
    <w:abstractNumId w:val="0"/>
  </w:num>
  <w:num w:numId="3" w16cid:durableId="354430545">
    <w:abstractNumId w:val="6"/>
  </w:num>
  <w:num w:numId="4" w16cid:durableId="60756200">
    <w:abstractNumId w:val="2"/>
  </w:num>
  <w:num w:numId="5" w16cid:durableId="2063940615">
    <w:abstractNumId w:val="1"/>
  </w:num>
  <w:num w:numId="6" w16cid:durableId="145122925">
    <w:abstractNumId w:val="5"/>
  </w:num>
  <w:num w:numId="7" w16cid:durableId="43498022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VData" w:val="ew0KICAiZG9jSUQiOiAiNTNhYjE3ZjctYzhkOC00OGE1LWEyNGYtZTZjNjgzYTZjM2E2Ig0KfQ=="/>
    <w:docVar w:name="GVData0" w:val="(end)"/>
  </w:docVars>
  <w:rsids>
    <w:rsidRoot w:val="00446987"/>
    <w:rsid w:val="00010788"/>
    <w:rsid w:val="000156B3"/>
    <w:rsid w:val="000171B2"/>
    <w:rsid w:val="000173F8"/>
    <w:rsid w:val="00022A83"/>
    <w:rsid w:val="00037D72"/>
    <w:rsid w:val="00040579"/>
    <w:rsid w:val="00045E72"/>
    <w:rsid w:val="000633A7"/>
    <w:rsid w:val="0008256E"/>
    <w:rsid w:val="00082BCB"/>
    <w:rsid w:val="000874DD"/>
    <w:rsid w:val="00091A43"/>
    <w:rsid w:val="00095D1B"/>
    <w:rsid w:val="00097EFE"/>
    <w:rsid w:val="000A174C"/>
    <w:rsid w:val="000B2B4F"/>
    <w:rsid w:val="000B597B"/>
    <w:rsid w:val="000D2E6D"/>
    <w:rsid w:val="000D7AB7"/>
    <w:rsid w:val="000F653C"/>
    <w:rsid w:val="00104147"/>
    <w:rsid w:val="001137E6"/>
    <w:rsid w:val="001208F9"/>
    <w:rsid w:val="00120E86"/>
    <w:rsid w:val="0012415B"/>
    <w:rsid w:val="00130EA5"/>
    <w:rsid w:val="00134949"/>
    <w:rsid w:val="001439A6"/>
    <w:rsid w:val="001469C7"/>
    <w:rsid w:val="00152EDC"/>
    <w:rsid w:val="00157146"/>
    <w:rsid w:val="00172011"/>
    <w:rsid w:val="001C7CEB"/>
    <w:rsid w:val="001D1CBD"/>
    <w:rsid w:val="001D692F"/>
    <w:rsid w:val="001D6DDE"/>
    <w:rsid w:val="001E0368"/>
    <w:rsid w:val="001E618E"/>
    <w:rsid w:val="001E7A4E"/>
    <w:rsid w:val="002051E3"/>
    <w:rsid w:val="00222A90"/>
    <w:rsid w:val="00224A14"/>
    <w:rsid w:val="0022504E"/>
    <w:rsid w:val="00234F7F"/>
    <w:rsid w:val="0023593D"/>
    <w:rsid w:val="00263AFF"/>
    <w:rsid w:val="00274A64"/>
    <w:rsid w:val="00294AB3"/>
    <w:rsid w:val="002C22F1"/>
    <w:rsid w:val="002E0D21"/>
    <w:rsid w:val="002E2293"/>
    <w:rsid w:val="002E5F1A"/>
    <w:rsid w:val="002F160A"/>
    <w:rsid w:val="002F7AFD"/>
    <w:rsid w:val="003108BA"/>
    <w:rsid w:val="00315505"/>
    <w:rsid w:val="00322312"/>
    <w:rsid w:val="0036764B"/>
    <w:rsid w:val="003A1A29"/>
    <w:rsid w:val="003A45CF"/>
    <w:rsid w:val="003B2848"/>
    <w:rsid w:val="003B5C86"/>
    <w:rsid w:val="003B7671"/>
    <w:rsid w:val="003F1F74"/>
    <w:rsid w:val="00407F81"/>
    <w:rsid w:val="00446987"/>
    <w:rsid w:val="00463129"/>
    <w:rsid w:val="00495EB0"/>
    <w:rsid w:val="004A555B"/>
    <w:rsid w:val="004B04C0"/>
    <w:rsid w:val="004B5106"/>
    <w:rsid w:val="004F7DE6"/>
    <w:rsid w:val="0050026D"/>
    <w:rsid w:val="00507BDB"/>
    <w:rsid w:val="0053789C"/>
    <w:rsid w:val="00556A2D"/>
    <w:rsid w:val="00557E20"/>
    <w:rsid w:val="0057022A"/>
    <w:rsid w:val="005705B6"/>
    <w:rsid w:val="00574D3D"/>
    <w:rsid w:val="00584DE5"/>
    <w:rsid w:val="0058793B"/>
    <w:rsid w:val="00597196"/>
    <w:rsid w:val="00597529"/>
    <w:rsid w:val="005A218B"/>
    <w:rsid w:val="005A30B0"/>
    <w:rsid w:val="005B1E6E"/>
    <w:rsid w:val="005B33CE"/>
    <w:rsid w:val="005C2901"/>
    <w:rsid w:val="005D5436"/>
    <w:rsid w:val="005F2F1A"/>
    <w:rsid w:val="005F4602"/>
    <w:rsid w:val="00607F87"/>
    <w:rsid w:val="006173FC"/>
    <w:rsid w:val="00631048"/>
    <w:rsid w:val="00652EBC"/>
    <w:rsid w:val="006867CF"/>
    <w:rsid w:val="00697EE7"/>
    <w:rsid w:val="006B767A"/>
    <w:rsid w:val="006C753B"/>
    <w:rsid w:val="006D419B"/>
    <w:rsid w:val="006D43DA"/>
    <w:rsid w:val="00721087"/>
    <w:rsid w:val="00725DAD"/>
    <w:rsid w:val="00770E02"/>
    <w:rsid w:val="007B1E56"/>
    <w:rsid w:val="007C2EEB"/>
    <w:rsid w:val="007F5128"/>
    <w:rsid w:val="007F600B"/>
    <w:rsid w:val="0081177E"/>
    <w:rsid w:val="0082559F"/>
    <w:rsid w:val="00826103"/>
    <w:rsid w:val="00836392"/>
    <w:rsid w:val="00843F5C"/>
    <w:rsid w:val="00866344"/>
    <w:rsid w:val="00872162"/>
    <w:rsid w:val="008851A8"/>
    <w:rsid w:val="008957D7"/>
    <w:rsid w:val="00896FBA"/>
    <w:rsid w:val="008A262F"/>
    <w:rsid w:val="008D33F3"/>
    <w:rsid w:val="008E1F0E"/>
    <w:rsid w:val="00900F7E"/>
    <w:rsid w:val="0091110C"/>
    <w:rsid w:val="009128E8"/>
    <w:rsid w:val="0091561E"/>
    <w:rsid w:val="009220D0"/>
    <w:rsid w:val="0092356A"/>
    <w:rsid w:val="009349D7"/>
    <w:rsid w:val="009404FE"/>
    <w:rsid w:val="00942470"/>
    <w:rsid w:val="0094713E"/>
    <w:rsid w:val="00950647"/>
    <w:rsid w:val="00956836"/>
    <w:rsid w:val="009740AF"/>
    <w:rsid w:val="00995679"/>
    <w:rsid w:val="009A15B8"/>
    <w:rsid w:val="009A24FB"/>
    <w:rsid w:val="009D51C3"/>
    <w:rsid w:val="009E78D2"/>
    <w:rsid w:val="009F3E56"/>
    <w:rsid w:val="00A108DE"/>
    <w:rsid w:val="00A135E0"/>
    <w:rsid w:val="00A23E3C"/>
    <w:rsid w:val="00A274F9"/>
    <w:rsid w:val="00A359DF"/>
    <w:rsid w:val="00A3636C"/>
    <w:rsid w:val="00A37470"/>
    <w:rsid w:val="00A40322"/>
    <w:rsid w:val="00A52938"/>
    <w:rsid w:val="00A855F7"/>
    <w:rsid w:val="00AA3DA7"/>
    <w:rsid w:val="00AA4027"/>
    <w:rsid w:val="00AC5D17"/>
    <w:rsid w:val="00AE7B7F"/>
    <w:rsid w:val="00AF147B"/>
    <w:rsid w:val="00B00DAC"/>
    <w:rsid w:val="00B1320D"/>
    <w:rsid w:val="00B21009"/>
    <w:rsid w:val="00B313E4"/>
    <w:rsid w:val="00B328A9"/>
    <w:rsid w:val="00B409CA"/>
    <w:rsid w:val="00B52196"/>
    <w:rsid w:val="00B53A0A"/>
    <w:rsid w:val="00B567C9"/>
    <w:rsid w:val="00B803F9"/>
    <w:rsid w:val="00BB2672"/>
    <w:rsid w:val="00BB6DFD"/>
    <w:rsid w:val="00BC2B0E"/>
    <w:rsid w:val="00BD0B0F"/>
    <w:rsid w:val="00BF49CF"/>
    <w:rsid w:val="00C062FA"/>
    <w:rsid w:val="00C114DB"/>
    <w:rsid w:val="00C26DB1"/>
    <w:rsid w:val="00C463AC"/>
    <w:rsid w:val="00C53496"/>
    <w:rsid w:val="00C5363C"/>
    <w:rsid w:val="00C60245"/>
    <w:rsid w:val="00C72662"/>
    <w:rsid w:val="00C802EA"/>
    <w:rsid w:val="00CA1C7E"/>
    <w:rsid w:val="00CA3006"/>
    <w:rsid w:val="00CA6A3A"/>
    <w:rsid w:val="00CB7A8F"/>
    <w:rsid w:val="00CD0CB3"/>
    <w:rsid w:val="00CD2994"/>
    <w:rsid w:val="00CE50E4"/>
    <w:rsid w:val="00CE580F"/>
    <w:rsid w:val="00CF0FB8"/>
    <w:rsid w:val="00D02826"/>
    <w:rsid w:val="00D06182"/>
    <w:rsid w:val="00D10316"/>
    <w:rsid w:val="00D67D62"/>
    <w:rsid w:val="00D702E3"/>
    <w:rsid w:val="00DA078C"/>
    <w:rsid w:val="00DA3791"/>
    <w:rsid w:val="00DA4777"/>
    <w:rsid w:val="00DA5781"/>
    <w:rsid w:val="00DC57CE"/>
    <w:rsid w:val="00DD440C"/>
    <w:rsid w:val="00DF516E"/>
    <w:rsid w:val="00DF518B"/>
    <w:rsid w:val="00DF5654"/>
    <w:rsid w:val="00E154A6"/>
    <w:rsid w:val="00E17B29"/>
    <w:rsid w:val="00E20DE3"/>
    <w:rsid w:val="00E21C6E"/>
    <w:rsid w:val="00E406B7"/>
    <w:rsid w:val="00E45163"/>
    <w:rsid w:val="00E5768C"/>
    <w:rsid w:val="00E61B8A"/>
    <w:rsid w:val="00E6499E"/>
    <w:rsid w:val="00E911A5"/>
    <w:rsid w:val="00E91D3D"/>
    <w:rsid w:val="00EA2DE5"/>
    <w:rsid w:val="00EA41E4"/>
    <w:rsid w:val="00EB75AA"/>
    <w:rsid w:val="00EC26FD"/>
    <w:rsid w:val="00ED149B"/>
    <w:rsid w:val="00EE45F9"/>
    <w:rsid w:val="00EE5390"/>
    <w:rsid w:val="00EF2289"/>
    <w:rsid w:val="00EF495B"/>
    <w:rsid w:val="00EF7960"/>
    <w:rsid w:val="00F114C5"/>
    <w:rsid w:val="00F11509"/>
    <w:rsid w:val="00F115D2"/>
    <w:rsid w:val="00F35794"/>
    <w:rsid w:val="00F5367C"/>
    <w:rsid w:val="00F6488F"/>
    <w:rsid w:val="00F675CD"/>
    <w:rsid w:val="00F72569"/>
    <w:rsid w:val="00FC3454"/>
    <w:rsid w:val="00FC5CDE"/>
    <w:rsid w:val="00FE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C44E2"/>
  <w15:chartTrackingRefBased/>
  <w15:docId w15:val="{B51E8727-E022-452C-984E-67995FF8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6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6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9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9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9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9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9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9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9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69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6987"/>
  </w:style>
  <w:style w:type="paragraph" w:styleId="Piedepgina">
    <w:name w:val="footer"/>
    <w:basedOn w:val="Normal"/>
    <w:link w:val="PiedepginaCar"/>
    <w:uiPriority w:val="99"/>
    <w:unhideWhenUsed/>
    <w:rsid w:val="004469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987"/>
  </w:style>
  <w:style w:type="character" w:styleId="Hipervnculo">
    <w:name w:val="Hyperlink"/>
    <w:basedOn w:val="Fuentedeprrafopredeter"/>
    <w:uiPriority w:val="99"/>
    <w:unhideWhenUsed/>
    <w:rsid w:val="00811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7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636C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0D2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F516E"/>
    <w:pPr>
      <w:spacing w:before="240" w:after="0"/>
      <w:outlineLvl w:val="9"/>
    </w:pPr>
    <w:rPr>
      <w:kern w:val="0"/>
      <w:sz w:val="32"/>
      <w:szCs w:val="32"/>
      <w:lang w:eastAsia="ko-KR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A4777"/>
    <w:pPr>
      <w:tabs>
        <w:tab w:val="right" w:leader="dot" w:pos="8828"/>
      </w:tabs>
      <w:spacing w:after="100"/>
      <w:ind w:left="220"/>
    </w:pPr>
    <w:rPr>
      <w:rFonts w:cs="Calibri"/>
      <w:noProof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DF516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32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52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F92A8-EC63-49DB-B3C6-D16D02C25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842</Words>
  <Characters>5391</Characters>
  <Application>Microsoft Office Word</Application>
  <DocSecurity>0</DocSecurity>
  <Lines>127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Angel Garcia Martinez</dc:creator>
  <cp:keywords/>
  <dc:description/>
  <cp:lastModifiedBy>Pedro Angel Garcia Martinez</cp:lastModifiedBy>
  <cp:revision>8</cp:revision>
  <cp:lastPrinted>2025-08-12T19:09:00Z</cp:lastPrinted>
  <dcterms:created xsi:type="dcterms:W3CDTF">2025-08-12T18:47:00Z</dcterms:created>
  <dcterms:modified xsi:type="dcterms:W3CDTF">2025-08-12T19:09:00Z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ew0KICAidGFnc2V0X2YxNGZjMWYxXzg5NTBfNDBkNV84YTI5XzQ1OTA5ZGE5NDdkNl9wY2kiOiAiRmFsc2UiLA0KICAidGFnc2V0X2YxNGZjMWYxXzg5NTBfNDBkNV84YTI5XzQ1OTA5ZGE5NDdkNl9nZHByL3BpaSI6ICJUcnVlIiwNCiAgImRvY0lEIjogIjUzYWIx</vt:lpwstr>
  </property>
  <property fmtid="{D5CDD505-2E9C-101B-9397-08002B2CF9AE}" pid="3" name="GVData0">
    <vt:lpwstr>N2Y3LWM4ZDgtNDhhNS1hMjRmLWU2YzY4M2E2YzNhNiIsDQogICJPUyI6ICJXaW5kb3dzIiwNCiAgIk9wdGlvbnMiOiAie1x1MDAyMlBvcHVwQ29uZmlndXJhdGlvblx1MDAyMjp7XHUwMDIyQWx3YXlzU2hvd1BvcHVwXHUwMDIyOmZhbHNlLFx1MDAyMkVuZm9yY2VI</vt:lpwstr>
  </property>
  <property fmtid="{D5CDD505-2E9C-101B-9397-08002B2CF9AE}" pid="4" name="3rdPartyFooter">
    <vt:lpwstr>1</vt:lpwstr>
  </property>
  <property fmtid="{D5CDD505-2E9C-101B-9397-08002B2CF9AE}" pid="5" name="CurrentState">
    <vt:lpwstr>{"FirstPageDifferent":false,"DifferentOddAndEvenPages":false,"PageCount":5,"HeaderMetadata":"","ThirdPartyHeaderMetadata":"","GVHeaderExists":false,"NonGVHeaderExists":false,"FloatingHeaderExists":false,"NonGVHeaderShapeExists":false,"ThirdPartyHeaders":[],"FooterMetadata":"","ThirdPartyFooterMetadata":"1","GVFooterExists":false,"NonGVFooterExists":true,"FloatingFooterExists":false,"NonGVFooterShapeExists":false,"ThirdPartyFooters":[],"WatermarkMetadata":"","WatermarkExists":false,"PowerpointTitleMetadata":null,"PowerpointSubtitleMetadata":null,"ThirdPartyMetadataFound":false}</vt:lpwstr>
  </property>
  <property fmtid="{D5CDD505-2E9C-101B-9397-08002B2CF9AE}" pid="6" name="GVData1">
    <vt:lpwstr>ZWFkZXJGb290ZXJUeXBlXHUwMDIyOmZhbHNlLFx1MDAyMkhlYWRlclBsYWNlbWVudFR5cGVcdTAwMjI6MCxcdTAwMjJGb290ZXJQbGFjZW1lbnRUeXBlXHUwMDIyOjAsXHUwMDIyRW5mb3JjZUxheW91dE9wdGlvblx1MDAyMjpmYWxzZSxcdTAwMjJMYXlvdXRPcHRp</vt:lpwstr>
  </property>
  <property fmtid="{D5CDD505-2E9C-101B-9397-08002B2CF9AE}" pid="7" name="ClassificationTagSetId">
    <vt:lpwstr>e16409a7-1700-4153-9090-3955bc2f0ae8</vt:lpwstr>
  </property>
  <property fmtid="{D5CDD505-2E9C-101B-9397-08002B2CF9AE}" pid="8" name="Compliance">
    <vt:lpwstr>GDPR/PII</vt:lpwstr>
  </property>
  <property fmtid="{D5CDD505-2E9C-101B-9397-08002B2CF9AE}" pid="9" name="ComplianceTagSetId">
    <vt:lpwstr>f14fc1f1-8950-40d5-8a29-45909da947d6</vt:lpwstr>
  </property>
  <property fmtid="{D5CDD505-2E9C-101B-9397-08002B2CF9AE}" pid="10" name="FileId">
    <vt:lpwstr>53ab17f7-c8d8-48a5-a24f-e6c683a6c3a6</vt:lpwstr>
  </property>
  <property fmtid="{D5CDD505-2E9C-101B-9397-08002B2CF9AE}" pid="11" name="UserId">
    <vt:lpwstr>pedro.garcia</vt:lpwstr>
  </property>
  <property fmtid="{D5CDD505-2E9C-101B-9397-08002B2CF9AE}" pid="12" name="TagDateTime">
    <vt:lpwstr>2025-08-12T19:09:18Z</vt:lpwstr>
  </property>
  <property fmtid="{D5CDD505-2E9C-101B-9397-08002B2CF9AE}" pid="13" name="GVData2">
    <vt:lpwstr>b25cdTAwMjI6MCxcdTAwMjJUcmlnZ2VyTnVtYmVyXHUwMDIyOjAsXHUwMDIyRnJvbUluZGV4XHUwMDIyOjAsXHUwMDIyVG9JbmRleFx1MDAyMjowLFx1MDAyMkVuZm9yY2VPdmVyd3JpdGVPcHRpb25cdTAwMjI6ZmFsc2UsXHUwMDIyT3ZlcndyaXRlT3B0aW9uXHUw</vt:lpwstr>
  </property>
  <property fmtid="{D5CDD505-2E9C-101B-9397-08002B2CF9AE}" pid="14" name="GVData3">
    <vt:lpwstr>MDIyOjB9LFx1MDAyMkhlYWRlckVuYWJsZWRcdTAwMjI6ZmFsc2UsXHUwMDIySGVhZGVyXHUwMDIyOlx1MDAyMlx1MDAyMixcdTAwMjJIZWFkZXJzXHUwMDIyOltcdTAwMjJcdTAwMjJdLFx1MDAyMkhlYWRlclR5cGVcdTAwMjI6MixcdTAwMjJIZWFkZXJUeXBlc0Fs</vt:lpwstr>
  </property>
  <property fmtid="{D5CDD505-2E9C-101B-9397-08002B2CF9AE}" pid="15" name="GVData4">
    <vt:lpwstr>bG93ZWRcdTAwMjI6WzJdLFx1MDAyMkhlYWRlclVwZGF0ZVR5cGVcdTAwMjI6MCxcdTAwMjJGb290ZXJFbmFibGVkXHUwMDIyOmZhbHNlLFx1MDAyMkZvb3Rlclx1MDAyMjpcdTAwMjJcdTAwMjIsXHUwMDIyRm9vdGVyc1x1MDAyMjpbXHUwMDIyXHUwMDIyXSxcdTAw</vt:lpwstr>
  </property>
  <property fmtid="{D5CDD505-2E9C-101B-9397-08002B2CF9AE}" pid="16" name="GVData5">
    <vt:lpwstr>MjJGb290ZXJUeXBlXHUwMDIyOjIsXHUwMDIyRm9vdGVyVHlwZXNBbGxvd2VkXHUwMDIyOlsyXSxcdTAwMjJGb290ZXJVcGRhdGVUeXBlXHUwMDIyOjAsXHUwMDIyV2F0ZXJtYXJrXHUwMDIyOlx1MDAyMlx1MDAyMixcdTAwMjJXYXRlcm1hcmtFbmFibGVkXHUwMDIy</vt:lpwstr>
  </property>
  <property fmtid="{D5CDD505-2E9C-101B-9397-08002B2CF9AE}" pid="17" name="GVData6">
    <vt:lpwstr>OmZhbHNlLFx1MDAyMlNob3VsZFdyaXRlV2F0ZXJtYXJrXHUwMDIyOmZhbHNlLFx1MDAyMldhdGVybWFya1VwZGF0ZVR5cGVcdTAwMjI6MSxcdTAwMjJQb3dlcnBvaW50VGl0bGVcdTAwMjI6bnVsbCxcdTAwMjJQb3dlcnBvaW50U3ViaXRsZVx1MDAyMjpudWxsfSIs</vt:lpwstr>
  </property>
  <property fmtid="{D5CDD505-2E9C-101B-9397-08002B2CF9AE}" pid="18" name="GVData7">
    <vt:lpwstr>DQogICJTdGF0ZSI6ICJ7XHUwMDIyRmlyc3RQYWdlRGlmZmVyZW50XHUwMDIyOmZhbHNlLFx1MDAyMkRpZmZlcmVudE9kZEFuZEV2ZW5QYWdlc1x1MDAyMjpmYWxzZSxcdTAwMjJQYWdlQ291bnRcdTAwMjI6NSxcdTAwMjJIZWFkZXJNZXRhZGF0YVx1MDAyMjpcdTAw</vt:lpwstr>
  </property>
  <property fmtid="{D5CDD505-2E9C-101B-9397-08002B2CF9AE}" pid="19" name="GVData8">
    <vt:lpwstr>MjJcdTAwMjIsXHUwMDIyVGhpcmRQYXJ0eUhlYWRlck1ldGFkYXRhXHUwMDIyOlx1MDAyMlx1MDAyMixcdTAwMjJHVkhlYWRlckV4aXN0c1x1MDAyMjpmYWxzZSxcdTAwMjJOb25HVkhlYWRlckV4aXN0c1x1MDAyMjpmYWxzZSxcdTAwMjJGbG9hdGluZ0hlYWRlckV4</vt:lpwstr>
  </property>
  <property fmtid="{D5CDD505-2E9C-101B-9397-08002B2CF9AE}" pid="20" name="GVData9">
    <vt:lpwstr>aXN0c1x1MDAyMjpmYWxzZSxcdTAwMjJOb25HVkhlYWRlclNoYXBlRXhpc3RzXHUwMDIyOmZhbHNlLFx1MDAyMlRoaXJkUGFydHlIZWFkZXJzXHUwMDIyOltdLFx1MDAyMkZvb3Rlck1ldGFkYXRhXHUwMDIyOlx1MDAyMlx1MDAyMixcdTAwMjJUaGlyZFBhcnR5Rm9v</vt:lpwstr>
  </property>
  <property fmtid="{D5CDD505-2E9C-101B-9397-08002B2CF9AE}" pid="21" name="GVData10">
    <vt:lpwstr>dGVyTWV0YWRhdGFcdTAwMjI6XHUwMDIyMVx1MDAyMixcdTAwMjJHVkZvb3RlckV4aXN0c1x1MDAyMjpmYWxzZSxcdTAwMjJOb25HVkZvb3RlckV4aXN0c1x1MDAyMjp0cnVlLFx1MDAyMkZsb2F0aW5nRm9vdGVyRXhpc3RzXHUwMDIyOmZhbHNlLFx1MDAyMk5vbkdW</vt:lpwstr>
  </property>
  <property fmtid="{D5CDD505-2E9C-101B-9397-08002B2CF9AE}" pid="22" name="GVData11">
    <vt:lpwstr>Rm9vdGVyU2hhcGVFeGlzdHNcdTAwMjI6ZmFsc2UsXHUwMDIyVGhpcmRQYXJ0eUZvb3RlcnNcdTAwMjI6W10sXHUwMDIyV2F0ZXJtYXJrTWV0YWRhdGFcdTAwMjI6XHUwMDIyXHUwMDIyLFx1MDAyMldhdGVybWFya0V4aXN0c1x1MDAyMjpmYWxzZSxcdTAwMjJQb3dl</vt:lpwstr>
  </property>
  <property fmtid="{D5CDD505-2E9C-101B-9397-08002B2CF9AE}" pid="23" name="GVData12">
    <vt:lpwstr>cnBvaW50VGl0bGVNZXRhZGF0YVx1MDAyMjpudWxsLFx1MDAyMlBvd2VycG9pbnRTdWJ0aXRsZU1ldGFkYXRhXHUwMDIyOm51bGwsXHUwMDIyVGhpcmRQYXJ0eU1ldGFkYXRhRm91bmRcdTAwMjI6ZmFsc2V9Ig0KfQ==</vt:lpwstr>
  </property>
  <property fmtid="{D5CDD505-2E9C-101B-9397-08002B2CF9AE}" pid="24" name="GVData13">
    <vt:lpwstr>(end)</vt:lpwstr>
  </property>
</Properties>
</file>