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21. Oktober 2026 · Version 1.1.4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1.1.4 Beta</w:t>
      </w:r>
      <w:r>
        <w:t xml:space="preserve"> vom 21.10.2026.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auch pauschal für ein ganzes Fach),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zehn Bereiche (als Fachlehrkraft drei).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Bewertungsebene pauschal festlegen:</w:t>
      </w:r>
      <w:r>
        <w:t xml:space="preserve"> Mit „Bewertungsebene in …“ über dem Raster legst du für ein ganzes Fach fest, ob du auf der Ebene der Lernbereiche (LB), Kompetenzen (K) oder Kompetenzerwartungen (KE) bewertest oder „einzeln“ bis zu den Teilbereichen. LeDoK setzt dann bei allen Bereichen dieser Ebene „Hier bewerten“. Einzelne Bereiche stellst du danach anders ein: Klicke zum Beispiel einen Lernbereich an und wähle unter „Bewertungsebene für alle Unterbereiche“ eine feinere Ebene. Ist ein Fach unterschiedlich eingestellt, steht dort „gemischt“. Die Erfassung (Beobachtung, Fokustag …) übernimmt jeder Bereich von seinen Unterbereichen; am häufigsten gewählt gewinnt. Bisherige Bewertungen bleiben erhalten und fließen weiter in Übersicht, Bericht und LEG-Bogen ein.</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Ansicht.</w:t>
      </w:r>
      <w:r>
        <w:t xml:space="preserve"> 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6"/>
            <wp:effectExtent b="0" l="0" r="0" t="0"/>
            <wp:docPr descr="Einstellungen → Ansicht" title="" id="9301" name="Picture"/>
            <a:graphic>
              <a:graphicData uri="http://schemas.openxmlformats.org/drawingml/2006/picture">
                <pic:pic>
                  <pic:nvPicPr>
                    <pic:cNvPr descr="jpg/27-dokumente.jpg" id="9302" name="Picture"/>
                    <pic:cNvPicPr>
                      <a:picLocks noChangeArrowheads="1" noChangeAspect="1"/>
                    </pic:cNvPicPr>
                  </pic:nvPicPr>
                  <pic:blipFill>
                    <a:blip r:embed="rIdAnsicht"/>
                    <a:stretch>
                      <a:fillRect/>
                    </a:stretch>
                  </pic:blipFill>
                  <pic:spPr bwMode="auto">
                    <a:xfrm>
                      <a:off x="0" y="0"/>
                      <a:ext cx="5399999" cy="4260936"/>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1.1.4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 Id="rIdAnsicht" Type="http://schemas.openxmlformats.org/officeDocument/2006/relationships/image" Target="media/rIdAnsicht.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