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Ourense</w:t>
      </w:r>
    </w:p>
    <w:p>
      <w:r>
        <w:t xml:space="preserve">Versión 30.0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Calle Progreso 2 · Ourense</w:t>
      </w:r>
      <w:r>
        <w:rPr>
          <w:b/>
        </w:rPr>
        <w:t xml:space="preserve">Plan de Dirección · v30.0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v30.0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v30.0»</w:t>
      </w:r>
      <w:r>
        <w:t xml:space="preserve">. Los documentos operativos se citan por su nombre y versión, que es la misma para todos: Manual Maestro v30.0, Protocolo de Primera Visita v30.0, Otros documentos del sistema v30.0.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30.0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30.0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30.0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30.0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30.0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30.0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30.0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30.0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Ourense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Ourense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Ourense,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Ourense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provincia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OURENSER: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provincia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Ourense y su provincia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Ourense y su provincia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Ourense y su provincia.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Calle Progreso 2 · Ourense</w:t>
      </w:r>
      <w:r>
        <w:t xml:space="preserve"> v30.0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v30.0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provincia"/>
      <w:bookmarkEnd w:id="125"/>
      <w:r>
        <w:t xml:space="preserve">Los seis de la provincia</w:t>
      </w:r>
    </w:p>
    <w:p>
      <w:r>
        <w:t xml:space="preserve">No son segmentos demográficos ni perfiles de manual. Son seis situaciones vitales reconocibles en Ourense y su provincia,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vuelve"/>
      <w:bookmarkEnd w:id="128"/>
      <w:r>
        <w:t xml:space="preserve">El que vuelve</w:t>
      </w:r>
    </w:p>
    <w:p>
      <w:r>
        <w:rPr>
          <w:b/>
        </w:rPr>
        <w:t xml:space="preserve">Qué le pasa.</w:t>
      </w:r>
      <w:r>
        <w:t xml:space="preserve"> Vive fuera y vuelve dos o tres semanas en agosto y en Navidad. Su calendario no lo decide él: lo decide el billete de vuelta, el convenio de su empresa o el curso escolar de sus hijos. Aquí tiene la casa, la familia y muchas veces a la persona mayor a la que cuida desde la distancia.</w:t>
      </w:r>
    </w:p>
    <w:p>
      <w:r>
        <w:rPr>
          <w:b/>
        </w:rPr>
        <w:t xml:space="preserve">Qué le frena.</w:t>
      </w:r>
      <w:r>
        <w:t xml:space="preserve"> No tener tres semanas seguidas aquí, y no querer empezar algo que tenga que terminar a mil kilómetros.</w:t>
      </w:r>
    </w:p>
    <w:p>
      <w:r>
        <w:rPr>
          <w:b/>
        </w:rPr>
        <w:t xml:space="preserve">La puerta.</w:t>
      </w:r>
      <w:r>
        <w:t xml:space="preserve"> Tratamiento planificado dentro de su estancia real, a dos veranos si hace falta: </w:t>
      </w:r>
      <w:r>
        <w:rPr>
          <w:b/>
        </w:rPr>
        <w:t xml:space="preserve">A69</w:t>
      </w:r>
      <w:r>
        <w:t xml:space="preserve"> a </w:t>
      </w:r>
      <w:r>
        <w:rPr>
          <w:b/>
        </w:rPr>
        <w:t xml:space="preserve">A72</w:t>
      </w:r>
      <w:r>
        <w:t xml:space="preserve">, la Campaña del Retorno del apartado 13.</w:t>
      </w:r>
    </w:p>
    <w:p>
      <w:r>
        <w:rPr>
          <w:b/>
        </w:rPr>
        <w:t xml:space="preserve">Es el arquetipo que nadie de este sector atiende en una provincia que vive con media familia fuera.</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polígono, del termalismo y de la administración</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provincia con el tiempo real de desplazamiento y dónde aparcar</w:t>
            </w:r>
            <w:r>
              <w:t xml:space="preserve">Sabe si le compensa venir desde Verín, O Carballiño o Xinzo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asociaciones de emigrantes y concellos: diagnóstico y plan en la primera estancia</w:t>
            </w:r>
            <w:r>
              <w:t xml:space="preserve">No vuelve a marcharse con un problema que va a estallar a mil kilómetros de quien le conoce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Planes abiertos en estancia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del Retorno: ventana de tratamiento ajustada al calendario real de las estancias</w:t>
            </w:r>
            <w:r>
              <w:t xml:space="preserve">Se trata en las semanas en que está aquí, sin gastar la estancia en salas de espera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clínico para continuar fuera, dirigido al propio paciente</w:t>
            </w:r>
            <w:r>
              <w:t xml:space="preserve">Se marcha con un papel que dice cómo tiene la boca y qué falta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a distancia y qué llevarse al volver a marchar</w:t>
            </w:r>
            <w:r>
              <w:t xml:space="preserve">Sabe qué hacer si le duele una muela lejos de aquí</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del Retorno</w:t>
      </w:r>
      <w:r>
        <w:t xml:space="preserve">A69 · A70 · A71 · A72 · fuera de cartera</w:t>
      </w:r>
      <w:r>
        <w:rPr>
          <w:b/>
        </w:rPr>
        <w:t xml:space="preserve">Qué es</w:t>
      </w:r>
    </w:p>
    <w:p>
      <w:r>
        <w:t xml:space="preserve">Un programa dental construido sobre el calendario de quien vive fuera y no sobre el nuestro: diagnóstico y plan en la primera estancia, tratamiento planificado dentro de la ventana real, informe clínico para continuar fuera si hace falta y protocolo de urgencia a distancia.</w:t>
      </w:r>
    </w:p>
    <w:p>
      <w:r>
        <w:rPr>
          <w:b/>
        </w:rPr>
        <w:t xml:space="preserve">Qué gana el paciente</w:t>
      </w:r>
    </w:p>
    <w:p>
      <w:r>
        <w:t xml:space="preserve">No vuelve a marcharse con un problema que va a estallar a mil kilómetros del dentista que le conoce, y se trata en las semanas en que está aquí, sin gastar la estancia entera en salas de espera.</w:t>
      </w:r>
    </w:p>
    <w:p>
      <w:r>
        <w:rPr>
          <w:b/>
        </w:rPr>
        <w:t xml:space="preserve">Cómo se hace</w:t>
      </w:r>
    </w:p>
    <w:p>
      <w:r>
        <w:t xml:space="preserve">Acuerdo con asociaciones de emigrantes, centros gallegos en el exterior y concellos. Agenda con reserva de huecos en agosto y en Navidad. Informe dirigido al propio paciente, que decide con quién lo comparte.</w:t>
      </w:r>
    </w:p>
    <w:p>
      <w:r>
        <w:rPr>
          <w:b/>
        </w:rPr>
        <w:t xml:space="preserve">Qué cuesta</w:t>
      </w:r>
    </w:p>
    <w:p>
      <w:r>
        <w:t xml:space="preserve">Banda €€€ el primer año, casi todo en tiempo comercial de Gerencia. Las ventanas del calendario se contrastan con dos asociaciones en T2; hasta entonces no se compromete agenda.</w:t>
      </w:r>
    </w:p>
    <w:p>
      <w:r>
        <w:rPr>
          <w:b/>
        </w:rPr>
        <w:t xml:space="preserve">Por qué nadie lo hace</w:t>
      </w:r>
    </w:p>
    <w:p>
      <w:r>
        <w:t xml:space="preserve">Porque exige adaptar la agenda a un calendario ajeno en vez de exigir al paciente que se adapte al nuestro. En una provincia que vive con media familia fuera, es la pieza con más recorrido y la que nadie ha tocado.</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provincia_canal_calendar"/>
      <w:bookmarkEnd w:id="152"/>
      <w:r>
        <w:t xml:space="preserve">La provincia, el canal y el calendario del retorno</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provincia"/>
      <w:bookmarkEnd w:id="156"/>
      <w:r>
        <w:t xml:space="preserve">El mapa de la provincia</w:t>
      </w:r>
    </w:p>
    <w:p>
      <w:r>
        <w:t xml:space="preserve">El área de influencia de un centro dental no se mide en kilómetros: se mide en </w:t>
      </w:r>
      <w:r>
        <w:rPr>
          <w:b/>
        </w:rPr>
        <w:t xml:space="preserve">minutos de puerta a sillón</w:t>
      </w:r>
      <w:r>
        <w:t xml:space="preserve">, y en esta provincia los minutos no son los que dice el mapa. La autovía acerca comarcas enteras del sur y del Ribeiro, mientras que una parroquia a treinta kilómetros por carretera de montaña puede estar más lejos en tiempo que un pueblo que está al doble de distancia.</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850"/>
        <w:gridCol w:w="2836"/>
        <w:gridCol w:w="2836"/>
        <w:gridCol w:w="2838"/>
      </w:tblGrid>
      <w:tr>
        <w:trPr>
          <w:cantSplit/>
          <w:tblHeader/>
        </w:trPr>
        <w:tc>
          <w:tcPr>
            <w:tcW w:w="850" w:type="dxa"/>
            <w:shd w:val="clear" w:color="auto" w:fill="E9E8E1"/>
          </w:tcPr>
          <w:p>
            <w:pPr>
              <w:pStyle w:val="CeldaCab"/>
            </w:pPr>
            <w:r>
              <w:rPr>
                <w:b/>
              </w:rPr>
              <w:t xml:space="preserve">Corona</w:t>
            </w:r>
          </w:p>
        </w:tc>
        <w:tc>
          <w:tcPr>
            <w:tcW w:w="2836" w:type="dxa"/>
            <w:shd w:val="clear" w:color="auto" w:fill="E9E8E1"/>
          </w:tcPr>
          <w:p>
            <w:pPr>
              <w:pStyle w:val="CeldaCab"/>
            </w:pPr>
            <w:r>
              <w:rPr>
                <w:b/>
              </w:rPr>
              <w:t xml:space="preserve">Localidades</w:t>
            </w:r>
          </w:p>
        </w:tc>
        <w:tc>
          <w:tcPr>
            <w:tcW w:w="2836" w:type="dxa"/>
            <w:shd w:val="clear" w:color="auto" w:fill="E9E8E1"/>
          </w:tcPr>
          <w:p>
            <w:pPr>
              <w:pStyle w:val="CeldaCab"/>
            </w:pPr>
            <w:r>
              <w:rPr>
                <w:b/>
              </w:rPr>
              <w:t xml:space="preserve">Qué la caracteriza</w:t>
            </w:r>
          </w:p>
        </w:tc>
        <w:tc>
          <w:tcPr>
            <w:tcW w:w="2838" w:type="dxa"/>
            <w:shd w:val="clear" w:color="auto" w:fill="E9E8E1"/>
          </w:tcPr>
          <w:p>
            <w:pPr>
              <w:pStyle w:val="CeldaCab"/>
            </w:pPr>
            <w:r>
              <w:rPr>
                <w:b/>
              </w:rPr>
              <w:t xml:space="preserve">Qué la abre</w:t>
            </w:r>
          </w:p>
        </w:tc>
      </w:tr>
      <w:tr>
        <w:trPr>
          <w:cantSplit/>
        </w:trPr>
        <w:tc>
          <w:tcPr>
            <w:tcW w:w="850" w:type="dxa"/>
          </w:tcPr>
          <w:p>
            <w:pPr>
              <w:pStyle w:val="Celda"/>
            </w:pPr>
            <w:r>
              <w:rPr>
                <w:b/>
              </w:rPr>
              <w:t xml:space="preserve">1 · La ciudad</w:t>
            </w:r>
          </w:p>
        </w:tc>
        <w:tc>
          <w:tcPr>
            <w:tcW w:w="2836" w:type="dxa"/>
          </w:tcPr>
          <w:p>
            <w:pPr>
              <w:pStyle w:val="Celda"/>
            </w:pPr>
            <w:r>
              <w:t xml:space="preserve">Ourense: O Couto, A Ponte, Mariñamansa, O Vinteún, A Carballeira, Casco Vello</w:t>
            </w:r>
          </w:p>
        </w:tc>
        <w:tc>
          <w:tcPr>
            <w:tcW w:w="2836" w:type="dxa"/>
          </w:tcPr>
          <w:p>
            <w:pPr>
              <w:pStyle w:val="Celda"/>
            </w:pPr>
            <w:r>
              <w:t xml:space="preserve">Mercado maduro y saturado de oferta. La decisión no se toma por cercanía, sino por confianza</w:t>
            </w:r>
          </w:p>
        </w:tc>
        <w:tc>
          <w:tcPr>
            <w:tcW w:w="2838" w:type="dxa"/>
          </w:tcPr>
          <w:p>
            <w:pPr>
              <w:pStyle w:val="Celda"/>
            </w:pPr>
            <w:r>
              <w:t xml:space="preserve">Reputación, prescripción y las diez piezas del apartado 10</w:t>
            </w:r>
          </w:p>
        </w:tc>
      </w:tr>
      <w:tr>
        <w:trPr>
          <w:cantSplit/>
        </w:trPr>
        <w:tc>
          <w:tcPr>
            <w:tcW w:w="850" w:type="dxa"/>
          </w:tcPr>
          <w:p>
            <w:pPr>
              <w:pStyle w:val="Celda"/>
            </w:pPr>
            <w:r>
              <w:rPr>
                <w:b/>
              </w:rPr>
              <w:t xml:space="preserve">2 · El área urbana</w:t>
            </w:r>
          </w:p>
        </w:tc>
        <w:tc>
          <w:tcPr>
            <w:tcW w:w="2836" w:type="dxa"/>
          </w:tcPr>
          <w:p>
            <w:pPr>
              <w:pStyle w:val="Celda"/>
            </w:pPr>
            <w:r>
              <w:t xml:space="preserve">Barbadás, San Cibrao das Viñas, O Pereiro de Aguiar, Coles, Toén</w:t>
            </w:r>
          </w:p>
        </w:tc>
        <w:tc>
          <w:tcPr>
            <w:tcW w:w="2836" w:type="dxa"/>
          </w:tcPr>
          <w:p>
            <w:pPr>
              <w:pStyle w:val="Celda"/>
            </w:pPr>
            <w:r>
              <w:t xml:space="preserve">Ya viene a la ciudad a diario, a trabajar o a comprar. El desplazamiento no es la barrera</w:t>
            </w:r>
          </w:p>
        </w:tc>
        <w:tc>
          <w:tcPr>
            <w:tcW w:w="2838" w:type="dxa"/>
          </w:tcPr>
          <w:p>
            <w:pPr>
              <w:pStyle w:val="Celda"/>
            </w:pPr>
            <w:r>
              <w:t xml:space="preserve">Cita en franja compatible con la jornada, y dónde aparcar al llegar</w:t>
            </w:r>
          </w:p>
        </w:tc>
      </w:tr>
      <w:tr>
        <w:trPr>
          <w:cantSplit/>
        </w:trPr>
        <w:tc>
          <w:tcPr>
            <w:tcW w:w="850" w:type="dxa"/>
          </w:tcPr>
          <w:p>
            <w:pPr>
              <w:pStyle w:val="Celda"/>
            </w:pPr>
            <w:r>
              <w:rPr>
                <w:b/>
              </w:rPr>
              <w:t xml:space="preserve">3 · Las comarcas</w:t>
            </w:r>
          </w:p>
        </w:tc>
        <w:tc>
          <w:tcPr>
            <w:tcW w:w="2836" w:type="dxa"/>
          </w:tcPr>
          <w:p>
            <w:pPr>
              <w:pStyle w:val="Celda"/>
            </w:pPr>
            <w:r>
              <w:t xml:space="preserve">Verín, Xinzo de Limia, Allariz, Celanova, O Carballiño, Ribadavia</w:t>
            </w:r>
          </w:p>
        </w:tc>
        <w:tc>
          <w:tcPr>
            <w:tcW w:w="2836" w:type="dxa"/>
          </w:tcPr>
          <w:p>
            <w:pPr>
              <w:pStyle w:val="Celda"/>
            </w:pPr>
            <w:r>
              <w:t xml:space="preserve">Población con capacidad adquisitiva y sin centro de excelencia implantológica propio. Kilómetros que no son minutos</w:t>
            </w:r>
          </w:p>
        </w:tc>
        <w:tc>
          <w:tcPr>
            <w:tcW w:w="2838" w:type="dxa"/>
          </w:tcPr>
          <w:p>
            <w:pPr>
              <w:pStyle w:val="Celda"/>
            </w:pPr>
            <w:r>
              <w:t xml:space="preserve">Tiempo real de trayecto dicho explícitamente, y agenda que agrupe las citas para no hacer el viaje dos veces</w:t>
            </w:r>
          </w:p>
        </w:tc>
      </w:tr>
      <w:tr>
        <w:trPr>
          <w:cantSplit/>
        </w:trPr>
        <w:tc>
          <w:tcPr>
            <w:tcW w:w="850" w:type="dxa"/>
          </w:tcPr>
          <w:p>
            <w:pPr>
              <w:pStyle w:val="Celda"/>
            </w:pPr>
            <w:r>
              <w:rPr>
                <w:b/>
              </w:rPr>
              <w:t xml:space="preserve">4 · El retorno</w:t>
            </w:r>
          </w:p>
        </w:tc>
        <w:tc>
          <w:tcPr>
            <w:tcW w:w="2836" w:type="dxa"/>
          </w:tcPr>
          <w:p>
            <w:pPr>
              <w:pStyle w:val="Celda"/>
            </w:pPr>
            <w:r>
              <w:t xml:space="preserve">La emigración que vuelve en agosto y en Navidad, dentro y fuera de España</w:t>
            </w:r>
          </w:p>
        </w:tc>
        <w:tc>
          <w:tcPr>
            <w:tcW w:w="2836" w:type="dxa"/>
          </w:tcPr>
          <w:p>
            <w:pPr>
              <w:pStyle w:val="Celda"/>
            </w:pPr>
            <w:r>
              <w:t xml:space="preserve">Concentra decisiones en semanas concretas del año. En esta provincia no es una corona más: es la primera</w:t>
            </w:r>
          </w:p>
        </w:tc>
        <w:tc>
          <w:tcPr>
            <w:tcW w:w="2838" w:type="dxa"/>
          </w:tcPr>
          <w:p>
            <w:pPr>
              <w:pStyle w:val="Celda"/>
            </w:pPr>
            <w:r>
              <w:t xml:space="preserve">Agenda con reserva en agosto y en Navidad, y plan de tratamiento planificado dentro de la estancia real</w:t>
            </w:r>
          </w:p>
        </w:tc>
      </w:tr>
    </w:tbl>
    <w:p>
      <w:pPr>
        <w:spacing w:after="120"/>
      </w:pPr>
    </w:p>
    <w:p>
      <w:r>
        <w:t xml:space="preserve">Modelo</w:t>
      </w:r>
      <w:r>
        <w:t xml:space="preserve"> El reparto en coronas, y muy especialmente el peso que se le da al retorno, es un supuesto de trabajo de Dirección escrito al trasladar el centro a Ourense.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retorno"/>
      <w:bookmarkEnd w:id="158"/>
      <w:r>
        <w:t xml:space="preserve">La Campaña del Retorno</w:t>
      </w:r>
    </w:p>
    <w:p>
      <w:r>
        <w:t xml:space="preserve">Ourense vive con media familia fuera y ninguna clínica dental de la ciudad organiza su agenda alrededor de esa realidad. Quien vuelve no elige cuándo tiene tres semanas seguidas aquí —lo decide el billete de vuelta, el convenio de su empresa o el calendario escolar de sus hijos—,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estancia por tipo de retorno</w:t>
      </w:r>
      <w:r>
        <w:t xml:space="preserve">Cuándo se puede planificar tratamiento con cada colectivo. Naturaleza: </w:t>
      </w:r>
      <w:r>
        <w:rPr>
          <w:b/>
        </w:rPr>
        <w:t xml:space="preserve">modelo</w:t>
      </w:r>
      <w:r>
        <w:t xml:space="preserve"> · las ventanas se contrastan con dos asociaciones de emigrantes y con los concellos en el segundo trimestre, y la figura se sustituye por el calendario real de estancias en cuanto la hoja de captura registre la procedencia de la primera visita.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estancia por tipo de retorno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agosto y en Navidad con meses de antelación, y esos huecos compiten con el resto de la cartera justo en las semanas de mayor demanda local.</w:t>
      </w:r>
    </w:p>
    <w:tbl>
      <w:tblPr>
        <w:tblStyle w:val="Rejilla"/>
        <w:tblW w:w="9360" w:type="dxa"/>
        <w:tblLayout w:type="fixed"/>
      </w:tblPr>
      <w:tblGrid>
        <w:gridCol w:w="674"/>
        <w:gridCol w:w="3298"/>
        <w:gridCol w:w="3298"/>
        <w:gridCol w:w="2090"/>
      </w:tblGrid>
      <w:tr>
        <w:trPr>
          <w:cantSplit/>
          <w:tblHeader/>
        </w:trPr>
        <w:tc>
          <w:tcPr>
            <w:tcW w:w="674" w:type="dxa"/>
            <w:shd w:val="clear" w:color="auto" w:fill="E9E8E1"/>
          </w:tcPr>
          <w:p>
            <w:pPr>
              <w:pStyle w:val="CeldaCab"/>
            </w:pPr>
            <w:r>
              <w:rPr>
                <w:b/>
              </w:rPr>
              <w:t xml:space="preserve">Acción</w:t>
            </w:r>
          </w:p>
        </w:tc>
        <w:tc>
          <w:tcPr>
            <w:tcW w:w="3298" w:type="dxa"/>
            <w:shd w:val="clear" w:color="auto" w:fill="E9E8E1"/>
          </w:tcPr>
          <w:p>
            <w:pPr>
              <w:pStyle w:val="CeldaCab"/>
            </w:pPr>
            <w:r>
              <w:rPr>
                <w:b/>
              </w:rPr>
              <w:t xml:space="preserve">Qué se hace</w:t>
            </w:r>
          </w:p>
        </w:tc>
        <w:tc>
          <w:tcPr>
            <w:tcW w:w="3298" w:type="dxa"/>
            <w:shd w:val="clear" w:color="auto" w:fill="E9E8E1"/>
          </w:tcPr>
          <w:p>
            <w:pPr>
              <w:pStyle w:val="CeldaCab"/>
            </w:pPr>
            <w:r>
              <w:rPr>
                <w:b/>
              </w:rPr>
              <w:t xml:space="preserve">Con quién</w:t>
            </w:r>
          </w:p>
        </w:tc>
        <w:tc>
          <w:tcPr>
            <w:tcW w:w="2090" w:type="dxa"/>
            <w:shd w:val="clear" w:color="auto" w:fill="E9E8E1"/>
          </w:tcPr>
          <w:p>
            <w:pPr>
              <w:pStyle w:val="CeldaCab"/>
            </w:pPr>
            <w:r>
              <w:rPr>
                <w:b/>
              </w:rPr>
              <w:t xml:space="preserve">Semáforo</w:t>
            </w:r>
          </w:p>
        </w:tc>
      </w:tr>
      <w:tr>
        <w:trPr>
          <w:cantSplit/>
        </w:trPr>
        <w:tc>
          <w:tcPr>
            <w:tcW w:w="674" w:type="dxa"/>
          </w:tcPr>
          <w:p>
            <w:pPr>
              <w:pStyle w:val="Celda"/>
            </w:pPr>
            <w:r>
              <w:rPr>
                <w:b/>
              </w:rPr>
              <w:t xml:space="preserve">A69</w:t>
            </w:r>
          </w:p>
        </w:tc>
        <w:tc>
          <w:tcPr>
            <w:tcW w:w="3298" w:type="dxa"/>
          </w:tcPr>
          <w:p>
            <w:pPr>
              <w:pStyle w:val="Celda"/>
            </w:pPr>
            <w:r>
              <w:t xml:space="preserve">Diagnóstico y plan en la primera estancia, con las fechas de la siguiente ya puestas</w:t>
            </w:r>
          </w:p>
        </w:tc>
        <w:tc>
          <w:tcPr>
            <w:tcW w:w="3298" w:type="dxa"/>
          </w:tcPr>
          <w:p>
            <w:pPr>
              <w:pStyle w:val="Celda"/>
            </w:pPr>
            <w:r>
              <w:t xml:space="preserve">Asociaciones de emigrantes, centros gallegos en el exterior y concellos</w:t>
            </w:r>
          </w:p>
        </w:tc>
        <w:tc>
          <w:tcPr>
            <w:tcW w:w="2090" w:type="dxa"/>
          </w:tcPr>
          <w:p>
            <w:pPr>
              <w:pStyle w:val="Celda"/>
            </w:pPr>
            <w:r>
              <w:t xml:space="preserve">Contenido a revisar</w:t>
            </w:r>
          </w:p>
        </w:tc>
      </w:tr>
      <w:tr>
        <w:trPr>
          <w:cantSplit/>
        </w:trPr>
        <w:tc>
          <w:tcPr>
            <w:tcW w:w="674" w:type="dxa"/>
          </w:tcPr>
          <w:p>
            <w:pPr>
              <w:pStyle w:val="Celda"/>
            </w:pPr>
            <w:r>
              <w:rPr>
                <w:b/>
              </w:rPr>
              <w:t xml:space="preserve">A70</w:t>
            </w:r>
          </w:p>
        </w:tc>
        <w:tc>
          <w:tcPr>
            <w:tcW w:w="3298" w:type="dxa"/>
          </w:tcPr>
          <w:p>
            <w:pPr>
              <w:pStyle w:val="Celda"/>
            </w:pPr>
            <w:r>
              <w:t xml:space="preserve">Ventana de tratamiento en la estancia: agenda reservada y citas agrupadas en las semanas disponibles</w:t>
            </w:r>
          </w:p>
        </w:tc>
        <w:tc>
          <w:tcPr>
            <w:tcW w:w="3298" w:type="dxa"/>
          </w:tcPr>
          <w:p>
            <w:pPr>
              <w:pStyle w:val="Celda"/>
            </w:pPr>
            <w:r>
              <w:t xml:space="preserve">El propio paciente</w:t>
            </w:r>
          </w:p>
        </w:tc>
        <w:tc>
          <w:tcPr>
            <w:tcW w:w="2090" w:type="dxa"/>
          </w:tcPr>
          <w:p>
            <w:pPr>
              <w:pStyle w:val="Celda"/>
            </w:pPr>
            <w:r>
              <w:t xml:space="preserve">Contenido a revisar</w:t>
            </w:r>
          </w:p>
        </w:tc>
      </w:tr>
      <w:tr>
        <w:trPr>
          <w:cantSplit/>
        </w:trPr>
        <w:tc>
          <w:tcPr>
            <w:tcW w:w="674" w:type="dxa"/>
          </w:tcPr>
          <w:p>
            <w:pPr>
              <w:pStyle w:val="Celda"/>
            </w:pPr>
            <w:r>
              <w:rPr>
                <w:b/>
              </w:rPr>
              <w:t xml:space="preserve">A71</w:t>
            </w:r>
          </w:p>
        </w:tc>
        <w:tc>
          <w:tcPr>
            <w:tcW w:w="3298" w:type="dxa"/>
          </w:tcPr>
          <w:p>
            <w:pPr>
              <w:pStyle w:val="Celda"/>
            </w:pPr>
            <w:r>
              <w:t xml:space="preserve">Informe clínico para continuar fuera si hace falta, </w:t>
            </w:r>
            <w:r>
              <w:rPr>
                <w:b/>
              </w:rPr>
              <w:t xml:space="preserve">dirigido al paciente</w:t>
            </w:r>
          </w:p>
        </w:tc>
        <w:tc>
          <w:tcPr>
            <w:tcW w:w="3298" w:type="dxa"/>
          </w:tcPr>
          <w:p>
            <w:pPr>
              <w:pStyle w:val="Celda"/>
            </w:pPr>
            <w:r>
              <w:t xml:space="preserve">El paciente, que decide con quién lo comparte</w:t>
            </w:r>
          </w:p>
        </w:tc>
        <w:tc>
          <w:tcPr>
            <w:tcW w:w="2090" w:type="dxa"/>
          </w:tcPr>
          <w:p>
            <w:pPr>
              <w:pStyle w:val="Celda"/>
            </w:pPr>
            <w:r>
              <w:t xml:space="preserve">Consentimiento y verificación jurídica</w:t>
            </w:r>
          </w:p>
        </w:tc>
      </w:tr>
      <w:tr>
        <w:trPr>
          <w:cantSplit/>
        </w:trPr>
        <w:tc>
          <w:tcPr>
            <w:tcW w:w="674" w:type="dxa"/>
          </w:tcPr>
          <w:p>
            <w:pPr>
              <w:pStyle w:val="Celda"/>
            </w:pPr>
            <w:r>
              <w:rPr>
                <w:b/>
              </w:rPr>
              <w:t xml:space="preserve">A72</w:t>
            </w:r>
          </w:p>
        </w:tc>
        <w:tc>
          <w:tcPr>
            <w:tcW w:w="3298" w:type="dxa"/>
          </w:tcPr>
          <w:p>
            <w:pPr>
              <w:pStyle w:val="Celda"/>
            </w:pPr>
            <w:r>
              <w:t xml:space="preserve">Protocolo de urgencia a distancia y qué llevarse al volver a marchar</w:t>
            </w:r>
          </w:p>
        </w:tc>
        <w:tc>
          <w:tcPr>
            <w:tcW w:w="3298" w:type="dxa"/>
          </w:tcPr>
          <w:p>
            <w:pPr>
              <w:pStyle w:val="Celda"/>
            </w:pPr>
            <w:r>
              <w:t xml:space="preserve">El paciente, con criterio clínico nuestro</w:t>
            </w:r>
          </w:p>
        </w:tc>
        <w:tc>
          <w:tcPr>
            <w:tcW w:w="2090" w:type="dxa"/>
          </w:tcPr>
          <w:p>
            <w:pPr>
              <w:pStyle w:val="Celda"/>
            </w:pPr>
            <w:r>
              <w:t xml:space="preserve">Alcance a delimitar</w:t>
            </w:r>
          </w:p>
        </w:tc>
      </w:tr>
    </w:tbl>
    <w:p>
      <w:pPr>
        <w:spacing w:after="120"/>
      </w:pPr>
    </w:p>
    <w:p>
      <w:r>
        <w:t xml:space="preserve">La línea que no se cruza</w:t>
      </w:r>
    </w:p>
    <w:p>
      <w:r>
        <w:rPr>
          <w:b/>
        </w:rPr>
        <w:t xml:space="preserve">El calendario del paciente no manda sobre el calendario clínico.</w:t>
      </w:r>
      <w:r>
        <w:t xml:space="preserve"> La tentación de esta campaña es evidente: si alguien se va el día 30, comprimir en tres semanas lo que necesita tres meses. Eso no se hace aquí. Si el tratamiento no cabe en la ventana, no se mete en la ventana: se planifica a dos estancias, se deja por escrito qué se hace en cada una y se dice claramente lo que no se va a terminar este verano. Un centro que se llama «no medias sonrisas» no puede entregar media boca porque el billete de vuelta tenga fecha.</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del Retorno no espera por eso: </w:t>
      </w:r>
      <w:r>
        <w:rPr>
          <w:b/>
        </w:rPr>
        <w:t xml:space="preserve">arranca en T2 como prueba acotada</w:t>
      </w:r>
      <w:r>
        <w:t xml:space="preserve"> —dos asociaciones, una ventana de agosto,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del Retorno</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del Retorno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asociaciones de emigrantes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clínico para continuar fuera, dirigido al propio paciente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a distancia y qué llevarse al volver a marchar</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polígono, del termalismo y de la administración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asociaciones de emigrantes y concellos: diagnóstico y plan en la primera estancia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del Retorno: ventana de tratamiento ajustada al calendario real de las estancias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provincia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del Retorno</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del Retorno,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Ourense · Versión 30.0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v30.0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v30.0,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30.0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Ourense · Versión 30.0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v30.0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v30.0: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Ourense,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Ourense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OURENSER: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Ourense»</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Ourense?</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Ourense.</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Ourense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30.0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