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Protocolos por puesto. </w:t>
      </w:r>
      <w:r>
        <w:t xml:space="preserve">El protocolo del centro visto desde cada uno de los seis puestos, con su papel en las catorce fases y sus procedimientos.</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Los números del centro.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Los números del centro</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4364"/>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4364"/>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«Los números del centro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«Los números del centro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3923"/>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3923"/>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0387"/>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0387"/>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del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4706"/>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4706"/>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1266"/>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1266"/>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5878"/>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5878"/>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t xml:space="preserve">Parte</w:t>
      </w:r>
      <w:r>
        <w:rPr>
          <w:b/>
        </w:rPr>
        <w:t xml:space="preserve">VIII</w:t>
      </w:r>
      <w:r>
        <w:t xml:space="preserve">El programa</w:t>
      </w:r>
    </w:p>
    <w:p>
      <w:pPr>
        <w:pStyle w:val="Titular3"/>
      </w:pPr>
      <w:r>
        <w:t xml:space="preserve">Giraldo Te Cuida</w:t>
      </w:r>
    </w:p>
    <w:p>
      <w:r>
        <w:t xml:space="preserve">Todo lo anterior sirve para que un paciente llegue, entienda y decida. Esto es lo que hace que se quede: el programa que convierte un tratamiento cerrado en una relación que dura, con su speech, sus objeciones, su campaña sobre la base de datos y su panel de control.</w:t>
      </w:r>
    </w:p>
    <w:p>
      <w:r>
        <w:rPr>
          <w:b/>
        </w:rPr>
        <w:t xml:space="preserve">20</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ocho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553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553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Protocolos por puesto</w:t>
      </w:r>
    </w:p>
    <w:p>
      <w:pPr>
        <w:pStyle w:val="Sumario"/>
      </w:pPr>
      <w:r>
        <w:t xml:space="preserve">El protocolo del centro visto desde cada uno de los seis puestos, con su papel en las catorce fases y sus procedimientos.</w:t>
      </w:r>
    </w:p>
    <w:p>
      <w:r>
        <w:t xml:space="preserve">Vista operativa · Uso interno</w:t>
      </w:r>
    </w:p>
    <w:p>
      <w:pPr>
        <w:pStyle w:val="Titular2"/>
      </w:pPr>
      <w:r>
        <w:t xml:space="preserve">Qué se espera de cada puesto</w:t>
      </w:r>
    </w:p>
    <w:p>
      <w:r>
        <w:t xml:space="preserve">Todo lo que el sistema dice de un puesto vivía repartido en cuatro documentos: su manual en el Manual Maestro, su papel en la matriz RACI, sus fases en el Protocolo de Primera Visita y sus protocolos operativos en Otros documentos. Quien llega un lunes a trabajar no debería recorrer cuatro documentos para saber qué se espera de él.</w:t>
      </w:r>
    </w:p>
    <w:p>
      <w:r>
        <w:t xml:space="preserve">Elija el puesto y aparece en un solo sitio: en qué fases interviene y con qué papel, qué procedimientos tiene escritos, qué funciones de vanguardia le tocan, con qué se le mide y qué se espera de él los primeros treinta días. Cada línea lleva al documento donde está el detalle, que sigue siendo el que manda: </w:t>
      </w:r>
      <w:r>
        <w:rPr>
          <w:b/>
        </w:rPr>
        <w:t xml:space="preserve">esta página señala, no sustituye</w:t>
      </w:r>
      <w:r>
        <w:t xml:space="preserve">.</w:t>
      </w:r>
    </w:p>
    <w:p>
      <w:r>
        <w:t xml:space="preserve">Los seis puestos</w:t>
      </w:r>
    </w:p>
    <w:p>
      <w:pPr>
        <w:pStyle w:val="Titular3"/>
      </w:pPr>
      <w:r>
        <w:t xml:space="preserve">Elija el suyo</w:t>
      </w:r>
    </w:p>
    <w:p>
      <w:r>
        <w:t xml:space="preserve">La matriz RACI reparte las catorce fases del recorrido entre seis puestos. R ejecuta, A responde del resultado, C se consulta antes de decidir y I se informa después. Una fase sin A es una fase de la que no responde nadie.</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741"/>
        <w:gridCol w:w="1701"/>
        <w:gridCol w:w="4918"/>
      </w:tblGrid>
      <w:tr>
        <w:trPr>
          <w:cantSplit/>
          <w:tblHeader/>
        </w:trPr>
        <w:tc>
          <w:tcPr>
            <w:tcW w:w="2741" w:type="dxa"/>
            <w:shd w:val="clear" w:color="auto" w:fill="E9E8E1"/>
          </w:tcPr>
          <w:p>
            <w:pPr>
              <w:pStyle w:val="CeldaCab"/>
            </w:pPr>
            <w:r>
              <w:rPr>
                <w:b/>
              </w:rPr>
              <w:t xml:space="preserve">Fase</w:t>
            </w:r>
          </w:p>
        </w:tc>
        <w:tc>
          <w:tcPr>
            <w:tcW w:w="1701" w:type="dxa"/>
            <w:shd w:val="clear" w:color="auto" w:fill="E9E8E1"/>
          </w:tcPr>
          <w:p>
            <w:pPr>
              <w:pStyle w:val="CeldaCab"/>
            </w:pPr>
            <w:r>
              <w:rPr>
                <w:b/>
              </w:rPr>
              <w:t xml:space="preserve">Su papel</w:t>
            </w:r>
          </w:p>
        </w:tc>
        <w:tc>
          <w:tcPr>
            <w:tcW w:w="4918" w:type="dxa"/>
            <w:shd w:val="clear" w:color="auto" w:fill="E9E8E1"/>
          </w:tcPr>
          <w:p>
            <w:pPr>
              <w:pStyle w:val="CeldaCab"/>
            </w:pPr>
            <w:r>
              <w:rPr>
                <w:b/>
              </w:rPr>
              <w:t xml:space="preserve">Qué significa</w:t>
            </w:r>
          </w:p>
        </w:tc>
      </w:tr>
      <w:tr>
        <w:trPr>
          <w:cantSplit/>
        </w:trPr>
        <w:tc>
          <w:tcPr>
            <w:tcW w:w="2741" w:type="dxa"/>
          </w:tcPr>
          <w:p>
            <w:pPr>
              <w:pStyle w:val="Celda"/>
            </w:pPr>
            <w:r>
              <w:t xml:space="preserve">1. Preparación previa</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2. Recepción y tour</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3. Anamnesis/RGPD y alta</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4. Historial y consentimiento</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5. Pruebas diagnósticas</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6. Briefing</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7. Anamnesis de expectativas</w:t>
            </w:r>
          </w:p>
        </w:tc>
        <w:tc>
          <w:tcPr>
            <w:tcW w:w="1701" w:type="dxa"/>
          </w:tcPr>
          <w:p>
            <w:pPr>
              <w:pStyle w:val="Celda"/>
            </w:pPr>
            <w:r>
              <w:t xml:space="preserve">Se informa</w:t>
            </w:r>
          </w:p>
        </w:tc>
        <w:tc>
          <w:tcPr>
            <w:tcW w:w="4918" w:type="dxa"/>
          </w:tcPr>
          <w:p>
            <w:pPr>
              <w:pStyle w:val="Celda"/>
            </w:pPr>
            <w:r>
              <w:t xml:space="preserve">Recibe el resultado; no decide ni ejecuta.</w:t>
            </w:r>
          </w:p>
        </w:tc>
      </w:tr>
      <w:tr>
        <w:trPr>
          <w:cantSplit/>
        </w:trPr>
        <w:tc>
          <w:tcPr>
            <w:tcW w:w="2741" w:type="dxa"/>
          </w:tcPr>
          <w:p>
            <w:pPr>
              <w:pStyle w:val="Celda"/>
            </w:pPr>
            <w:r>
              <w:t xml:space="preserve">8. IAC / solicitud / informe</w:t>
            </w:r>
          </w:p>
        </w:tc>
        <w:tc>
          <w:tcPr>
            <w:tcW w:w="1701" w:type="dxa"/>
          </w:tcPr>
          <w:p>
            <w:pPr>
              <w:pStyle w:val="Celda"/>
            </w:pPr>
            <w:r>
              <w:t xml:space="preserve">Ejecuta</w:t>
            </w:r>
          </w:p>
        </w:tc>
        <w:tc>
          <w:tcPr>
            <w:tcW w:w="4918" w:type="dxa"/>
          </w:tcPr>
          <w:p>
            <w:pPr>
              <w:pStyle w:val="Celda"/>
            </w:pPr>
            <w:r>
              <w:t xml:space="preserve">Hace el trabajo de esa fase.</w:t>
            </w:r>
          </w:p>
        </w:tc>
      </w:tr>
      <w:tr>
        <w:trPr>
          <w:cantSplit/>
        </w:trPr>
        <w:tc>
          <w:tcPr>
            <w:tcW w:w="2741" w:type="dxa"/>
          </w:tcPr>
          <w:p>
            <w:pPr>
              <w:pStyle w:val="Celda"/>
            </w:pPr>
            <w:r>
              <w:t xml:space="preserve">9. Presentación</w:t>
            </w:r>
          </w:p>
        </w:tc>
        <w:tc>
          <w:tcPr>
            <w:tcW w:w="1701" w:type="dxa"/>
          </w:tcPr>
          <w:p>
            <w:pPr>
              <w:pStyle w:val="Celda"/>
            </w:pPr>
            <w:r>
              <w:t xml:space="preserve">Ejecuta</w:t>
            </w:r>
          </w:p>
        </w:tc>
        <w:tc>
          <w:tcPr>
            <w:tcW w:w="4918" w:type="dxa"/>
          </w:tcPr>
          <w:p>
            <w:pPr>
              <w:pStyle w:val="Celda"/>
            </w:pPr>
            <w:r>
              <w:t xml:space="preserve">Hace el trabajo de esa fase.</w:t>
            </w:r>
          </w:p>
        </w:tc>
      </w:tr>
      <w:tr>
        <w:trPr>
          <w:cantSplit/>
        </w:trPr>
        <w:tc>
          <w:tcPr>
            <w:tcW w:w="2741" w:type="dxa"/>
          </w:tcPr>
          <w:p>
            <w:pPr>
              <w:pStyle w:val="Celda"/>
            </w:pPr>
            <w:r>
              <w:t xml:space="preserve">10. Propuesta y cierre</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11. Cierre administrativo</w:t>
            </w:r>
          </w:p>
        </w:tc>
        <w:tc>
          <w:tcPr>
            <w:tcW w:w="1701" w:type="dxa"/>
          </w:tcPr>
          <w:p>
            <w:pPr>
              <w:pStyle w:val="Celda"/>
            </w:pPr>
            <w:r>
              <w:t xml:space="preserve">Responde</w:t>
            </w:r>
          </w:p>
        </w:tc>
        <w:tc>
          <w:tcPr>
            <w:tcW w:w="4918" w:type="dxa"/>
          </w:tcPr>
          <w:p>
            <w:pPr>
              <w:pStyle w:val="Celda"/>
            </w:pPr>
            <w:r>
              <w:t xml:space="preserve">Rinde cuentas del resultado, lo haya ejecutado o no.</w:t>
            </w:r>
          </w:p>
        </w:tc>
      </w:tr>
      <w:tr>
        <w:trPr>
          <w:cantSplit/>
        </w:trPr>
        <w:tc>
          <w:tcPr>
            <w:tcW w:w="2741" w:type="dxa"/>
          </w:tcPr>
          <w:p>
            <w:pPr>
              <w:pStyle w:val="Celda"/>
            </w:pPr>
            <w:r>
              <w:t xml:space="preserve">12. Seguimiento</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13. Circuito de producción</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14. Mantenimiento</w:t>
            </w:r>
          </w:p>
        </w:tc>
        <w:tc>
          <w:tcPr>
            <w:tcW w:w="1701" w:type="dxa"/>
          </w:tcPr>
          <w:p>
            <w:pPr>
              <w:pStyle w:val="Celda"/>
            </w:pPr>
            <w:r>
              <w:t xml:space="preserve">Se informa</w:t>
            </w:r>
          </w:p>
        </w:tc>
        <w:tc>
          <w:tcPr>
            <w:tcW w:w="4918" w:type="dxa"/>
          </w:tcPr>
          <w:p>
            <w:pPr>
              <w:pStyle w:val="Celda"/>
            </w:pPr>
            <w:r>
              <w:t xml:space="preserve">Recibe el resultado; no decide ni ejecuta.</w:t>
            </w:r>
          </w:p>
        </w:tc>
      </w:tr>
    </w:tbl>
    <w:p>
      <w:pPr>
        <w:spacing w:after="120"/>
      </w:pPr>
    </w:p>
    <w:p>
      <w:pPr>
        <w:pStyle w:val="Titular4"/>
      </w:pPr>
      <w:r>
        <w:t xml:space="preserve">Su manual de puesto</w:t>
      </w:r>
    </w:p>
    <w:p>
      <w:pPr>
        <w:pStyle w:val="Lista"/>
        <w:numPr>
          <w:ilvl w:val="0"/>
          <w:numId w:val="1"/>
        </w:numPr>
      </w:pPr>
      <w:r>
        <w:t xml:space="preserve">Autoridad y sus límites</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r>
        <w:t xml:space="preserve">Este puesto no tiene funciones de vanguardia propias: las suyas son de gobierno del sistema y están en su manual.</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741"/>
        <w:gridCol w:w="1701"/>
        <w:gridCol w:w="4918"/>
      </w:tblGrid>
      <w:tr>
        <w:trPr>
          <w:cantSplit/>
          <w:tblHeader/>
        </w:trPr>
        <w:tc>
          <w:tcPr>
            <w:tcW w:w="2741" w:type="dxa"/>
            <w:shd w:val="clear" w:color="auto" w:fill="E9E8E1"/>
          </w:tcPr>
          <w:p>
            <w:pPr>
              <w:pStyle w:val="CeldaCab"/>
            </w:pPr>
            <w:r>
              <w:rPr>
                <w:b/>
              </w:rPr>
              <w:t xml:space="preserve">Fase</w:t>
            </w:r>
          </w:p>
        </w:tc>
        <w:tc>
          <w:tcPr>
            <w:tcW w:w="1701" w:type="dxa"/>
            <w:shd w:val="clear" w:color="auto" w:fill="E9E8E1"/>
          </w:tcPr>
          <w:p>
            <w:pPr>
              <w:pStyle w:val="CeldaCab"/>
            </w:pPr>
            <w:r>
              <w:rPr>
                <w:b/>
              </w:rPr>
              <w:t xml:space="preserve">Su papel</w:t>
            </w:r>
          </w:p>
        </w:tc>
        <w:tc>
          <w:tcPr>
            <w:tcW w:w="4918" w:type="dxa"/>
            <w:shd w:val="clear" w:color="auto" w:fill="E9E8E1"/>
          </w:tcPr>
          <w:p>
            <w:pPr>
              <w:pStyle w:val="CeldaCab"/>
            </w:pPr>
            <w:r>
              <w:rPr>
                <w:b/>
              </w:rPr>
              <w:t xml:space="preserve">Qué significa</w:t>
            </w:r>
          </w:p>
        </w:tc>
      </w:tr>
      <w:tr>
        <w:trPr>
          <w:cantSplit/>
        </w:trPr>
        <w:tc>
          <w:tcPr>
            <w:tcW w:w="2741" w:type="dxa"/>
          </w:tcPr>
          <w:p>
            <w:pPr>
              <w:pStyle w:val="Celda"/>
            </w:pPr>
            <w:r>
              <w:t xml:space="preserve">1. Preparación previa</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2. Recepción y tour</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3. Anamnesis/RGPD y alta</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4. Historial y consentimiento</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5. Pruebas diagnósticas</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6. Briefing</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7. Anamnesis de expectativas</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8. IAC / solicitud / informe</w:t>
            </w:r>
          </w:p>
        </w:tc>
        <w:tc>
          <w:tcPr>
            <w:tcW w:w="1701" w:type="dxa"/>
          </w:tcPr>
          <w:p>
            <w:pPr>
              <w:pStyle w:val="Celda"/>
            </w:pPr>
            <w:r>
              <w:t xml:space="preserve">Responde</w:t>
            </w:r>
          </w:p>
        </w:tc>
        <w:tc>
          <w:tcPr>
            <w:tcW w:w="4918" w:type="dxa"/>
          </w:tcPr>
          <w:p>
            <w:pPr>
              <w:pStyle w:val="Celda"/>
            </w:pPr>
            <w:r>
              <w:t xml:space="preserve">Rinde cuentas del resultado, lo haya ejecutado o no.</w:t>
            </w:r>
          </w:p>
        </w:tc>
      </w:tr>
      <w:tr>
        <w:trPr>
          <w:cantSplit/>
        </w:trPr>
        <w:tc>
          <w:tcPr>
            <w:tcW w:w="2741" w:type="dxa"/>
          </w:tcPr>
          <w:p>
            <w:pPr>
              <w:pStyle w:val="Celda"/>
            </w:pPr>
            <w:r>
              <w:t xml:space="preserve">9. Presentación</w:t>
            </w:r>
          </w:p>
        </w:tc>
        <w:tc>
          <w:tcPr>
            <w:tcW w:w="1701" w:type="dxa"/>
          </w:tcPr>
          <w:p>
            <w:pPr>
              <w:pStyle w:val="Celda"/>
            </w:pPr>
            <w:r>
              <w:t xml:space="preserve">Ejecuta y responde</w:t>
            </w:r>
          </w:p>
        </w:tc>
        <w:tc>
          <w:tcPr>
            <w:tcW w:w="4918" w:type="dxa"/>
          </w:tcPr>
          <w:p>
            <w:pPr>
              <w:pStyle w:val="Celda"/>
            </w:pPr>
            <w:r>
              <w:t xml:space="preserve">Hace el trabajo y rinde cuentas de él.</w:t>
            </w:r>
          </w:p>
        </w:tc>
      </w:tr>
      <w:tr>
        <w:trPr>
          <w:cantSplit/>
        </w:trPr>
        <w:tc>
          <w:tcPr>
            <w:tcW w:w="2741" w:type="dxa"/>
          </w:tcPr>
          <w:p>
            <w:pPr>
              <w:pStyle w:val="Celda"/>
            </w:pPr>
            <w:r>
              <w:t xml:space="preserve">10. Propuesta y cierre</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11. Cierre administrativo</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12. Seguimiento</w:t>
            </w:r>
          </w:p>
        </w:tc>
        <w:tc>
          <w:tcPr>
            <w:tcW w:w="1701" w:type="dxa"/>
          </w:tcPr>
          <w:p>
            <w:pPr>
              <w:pStyle w:val="Celda"/>
            </w:pPr>
            <w:r>
              <w:t xml:space="preserve">No interviene</w:t>
            </w:r>
          </w:p>
        </w:tc>
        <w:tc>
          <w:tcPr>
            <w:tcW w:w="4918" w:type="dxa"/>
          </w:tcPr>
          <w:p>
            <w:pPr>
              <w:pStyle w:val="Celda"/>
            </w:pPr>
            <w:r>
              <w:t xml:space="preserve">Esa fase no pasa por sus manos.</w:t>
            </w:r>
          </w:p>
        </w:tc>
      </w:tr>
      <w:tr>
        <w:trPr>
          <w:cantSplit/>
        </w:trPr>
        <w:tc>
          <w:tcPr>
            <w:tcW w:w="2741" w:type="dxa"/>
          </w:tcPr>
          <w:p>
            <w:pPr>
              <w:pStyle w:val="Celda"/>
            </w:pPr>
            <w:r>
              <w:t xml:space="preserve">13. Circuito de producción</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r>
        <w:trPr>
          <w:cantSplit/>
        </w:trPr>
        <w:tc>
          <w:tcPr>
            <w:tcW w:w="2741" w:type="dxa"/>
          </w:tcPr>
          <w:p>
            <w:pPr>
              <w:pStyle w:val="Celda"/>
            </w:pPr>
            <w:r>
              <w:t xml:space="preserve">14. Mantenimiento</w:t>
            </w:r>
          </w:p>
        </w:tc>
        <w:tc>
          <w:tcPr>
            <w:tcW w:w="1701" w:type="dxa"/>
          </w:tcPr>
          <w:p>
            <w:pPr>
              <w:pStyle w:val="Celda"/>
            </w:pPr>
            <w:r>
              <w:t xml:space="preserve">Se consulta</w:t>
            </w:r>
          </w:p>
        </w:tc>
        <w:tc>
          <w:tcPr>
            <w:tcW w:w="4918" w:type="dxa"/>
          </w:tcPr>
          <w:p>
            <w:pPr>
              <w:pStyle w:val="Celda"/>
            </w:pPr>
            <w:r>
              <w:t xml:space="preserve">Su criterio se pide antes de decidir, no después.</w:t>
            </w:r>
          </w:p>
        </w:tc>
      </w:tr>
    </w:tbl>
    <w:p>
      <w:pPr>
        <w:spacing w:after="120"/>
      </w:pPr>
    </w:p>
    <w:p>
      <w:pPr>
        <w:pStyle w:val="Titular4"/>
      </w:pPr>
      <w:r>
        <w:t xml:space="preserve">Su manual de puesto</w:t>
      </w:r>
    </w:p>
    <w:p>
      <w:pPr>
        <w:pStyle w:val="Lista"/>
        <w:numPr>
          <w:ilvl w:val="0"/>
          <w:numId w:val="1"/>
        </w:numPr>
      </w:pPr>
      <w:r>
        <w:t xml:space="preserve">Cronograma de jornada</w:t>
      </w:r>
    </w:p>
    <w:p>
      <w:pPr>
        <w:pStyle w:val="Lista"/>
        <w:numPr>
          <w:ilvl w:val="0"/>
          <w:numId w:val="1"/>
        </w:numPr>
      </w:pPr>
      <w:r>
        <w:t xml:space="preserve">Procedimientos</w:t>
      </w:r>
    </w:p>
    <w:p>
      <w:pPr>
        <w:pStyle w:val="Lista"/>
        <w:numPr>
          <w:ilvl w:val="0"/>
          <w:numId w:val="1"/>
        </w:numPr>
      </w:pPr>
      <w:r>
        <w:t xml:space="preserve">Errores documentados</w:t>
      </w:r>
    </w:p>
    <w:p>
      <w:pPr>
        <w:pStyle w:val="Lista"/>
        <w:numPr>
          <w:ilvl w:val="0"/>
          <w:numId w:val="1"/>
        </w:numPr>
      </w:pPr>
      <w:r>
        <w:t xml:space="preserve">Su papel comercial y sus límites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2.1 · Preparación anticipada del caso</w:t>
      </w:r>
    </w:p>
    <w:p>
      <w:pPr>
        <w:pStyle w:val="Lista"/>
        <w:numPr>
          <w:ilvl w:val="0"/>
          <w:numId w:val="1"/>
        </w:numPr>
      </w:pPr>
      <w:r>
        <w:t xml:space="preserve">2.2 · Diagnóstico integral y predictivo</w:t>
      </w:r>
    </w:p>
    <w:p>
      <w:pPr>
        <w:pStyle w:val="Lista"/>
        <w:numPr>
          <w:ilvl w:val="0"/>
          <w:numId w:val="1"/>
        </w:numPr>
      </w:pPr>
      <w:r>
        <w:t xml:space="preserve">2.3 · Planificación digital del tratamiento</w:t>
      </w:r>
    </w:p>
    <w:p>
      <w:pPr>
        <w:pStyle w:val="Lista"/>
        <w:numPr>
          <w:ilvl w:val="0"/>
          <w:numId w:val="1"/>
        </w:numPr>
      </w:pPr>
      <w:r>
        <w:t xml:space="preserve">2.4 · Consentimiento informado real</w:t>
      </w:r>
    </w:p>
    <w:p>
      <w:pPr>
        <w:pStyle w:val="Lista"/>
        <w:numPr>
          <w:ilvl w:val="0"/>
          <w:numId w:val="1"/>
        </w:numPr>
      </w:pPr>
      <w:r>
        <w:t xml:space="preserve">2.5 · Ejecución clínica</w:t>
      </w:r>
    </w:p>
    <w:p>
      <w:pPr>
        <w:pStyle w:val="Lista"/>
        <w:numPr>
          <w:ilvl w:val="0"/>
          <w:numId w:val="1"/>
        </w:numPr>
      </w:pPr>
      <w:r>
        <w:t xml:space="preserve">2.6 · Registro y trazabilidad</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827"/>
        <w:gridCol w:w="1755"/>
        <w:gridCol w:w="4778"/>
      </w:tblGrid>
      <w:tr>
        <w:trPr>
          <w:cantSplit/>
          <w:tblHeader/>
        </w:trPr>
        <w:tc>
          <w:tcPr>
            <w:tcW w:w="2827" w:type="dxa"/>
            <w:shd w:val="clear" w:color="auto" w:fill="E9E8E1"/>
          </w:tcPr>
          <w:p>
            <w:pPr>
              <w:pStyle w:val="CeldaCab"/>
            </w:pPr>
            <w:r>
              <w:rPr>
                <w:b/>
              </w:rPr>
              <w:t xml:space="preserve">Fase</w:t>
            </w:r>
          </w:p>
        </w:tc>
        <w:tc>
          <w:tcPr>
            <w:tcW w:w="1755" w:type="dxa"/>
            <w:shd w:val="clear" w:color="auto" w:fill="E9E8E1"/>
          </w:tcPr>
          <w:p>
            <w:pPr>
              <w:pStyle w:val="CeldaCab"/>
            </w:pPr>
            <w:r>
              <w:rPr>
                <w:b/>
              </w:rPr>
              <w:t xml:space="preserve">Su papel</w:t>
            </w:r>
          </w:p>
        </w:tc>
        <w:tc>
          <w:tcPr>
            <w:tcW w:w="4778" w:type="dxa"/>
            <w:shd w:val="clear" w:color="auto" w:fill="E9E8E1"/>
          </w:tcPr>
          <w:p>
            <w:pPr>
              <w:pStyle w:val="CeldaCab"/>
            </w:pPr>
            <w:r>
              <w:rPr>
                <w:b/>
              </w:rPr>
              <w:t xml:space="preserve">Qué significa</w:t>
            </w:r>
          </w:p>
        </w:tc>
      </w:tr>
      <w:tr>
        <w:trPr>
          <w:cantSplit/>
        </w:trPr>
        <w:tc>
          <w:tcPr>
            <w:tcW w:w="2827" w:type="dxa"/>
          </w:tcPr>
          <w:p>
            <w:pPr>
              <w:pStyle w:val="Celda"/>
            </w:pPr>
            <w:r>
              <w:t xml:space="preserve">1. Preparación previa</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2. Recepción y tour</w:t>
            </w:r>
          </w:p>
        </w:tc>
        <w:tc>
          <w:tcPr>
            <w:tcW w:w="1755" w:type="dxa"/>
          </w:tcPr>
          <w:p>
            <w:pPr>
              <w:pStyle w:val="Celda"/>
            </w:pPr>
            <w:r>
              <w:t xml:space="preserve">Ejecuta</w:t>
            </w:r>
          </w:p>
        </w:tc>
        <w:tc>
          <w:tcPr>
            <w:tcW w:w="4778" w:type="dxa"/>
          </w:tcPr>
          <w:p>
            <w:pPr>
              <w:pStyle w:val="Celda"/>
            </w:pPr>
            <w:r>
              <w:t xml:space="preserve">Hace el trabajo de esa fase.</w:t>
            </w:r>
          </w:p>
        </w:tc>
      </w:tr>
      <w:tr>
        <w:trPr>
          <w:cantSplit/>
        </w:trPr>
        <w:tc>
          <w:tcPr>
            <w:tcW w:w="2827" w:type="dxa"/>
          </w:tcPr>
          <w:p>
            <w:pPr>
              <w:pStyle w:val="Celda"/>
            </w:pPr>
            <w:r>
              <w:t xml:space="preserve">3. Anamnesis/RGPD y alta</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4. Historial y consentimiento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5. Pruebas diagnósticas</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6. Briefing</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7. Anamnesis de expectativas</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8. IAC / solicitud / informe</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9. Presentación</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10. Propuesta y cierre</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11. Cierre administrativo</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12. Seguimiento</w:t>
            </w:r>
          </w:p>
        </w:tc>
        <w:tc>
          <w:tcPr>
            <w:tcW w:w="1755" w:type="dxa"/>
          </w:tcPr>
          <w:p>
            <w:pPr>
              <w:pStyle w:val="Celda"/>
            </w:pPr>
            <w:r>
              <w:t xml:space="preserve">Ejecuta</w:t>
            </w:r>
          </w:p>
        </w:tc>
        <w:tc>
          <w:tcPr>
            <w:tcW w:w="4778" w:type="dxa"/>
          </w:tcPr>
          <w:p>
            <w:pPr>
              <w:pStyle w:val="Celda"/>
            </w:pPr>
            <w:r>
              <w:t xml:space="preserve">Hace el trabajo de esa fase.</w:t>
            </w:r>
          </w:p>
        </w:tc>
      </w:tr>
      <w:tr>
        <w:trPr>
          <w:cantSplit/>
        </w:trPr>
        <w:tc>
          <w:tcPr>
            <w:tcW w:w="2827" w:type="dxa"/>
          </w:tcPr>
          <w:p>
            <w:pPr>
              <w:pStyle w:val="Celda"/>
            </w:pPr>
            <w:r>
              <w:t xml:space="preserve">13. Circuito de producción</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14. Mantenimiento</w:t>
            </w:r>
          </w:p>
        </w:tc>
        <w:tc>
          <w:tcPr>
            <w:tcW w:w="1755" w:type="dxa"/>
          </w:tcPr>
          <w:p>
            <w:pPr>
              <w:pStyle w:val="Celda"/>
            </w:pPr>
            <w:r>
              <w:t xml:space="preserve">Se consulta</w:t>
            </w:r>
          </w:p>
        </w:tc>
        <w:tc>
          <w:tcPr>
            <w:tcW w:w="4778" w:type="dxa"/>
          </w:tcPr>
          <w:p>
            <w:pPr>
              <w:pStyle w:val="Celda"/>
            </w:pPr>
            <w:r>
              <w:t xml:space="preserve">Su criterio se pide antes de decidir, no después.</w:t>
            </w:r>
          </w:p>
        </w:tc>
      </w:tr>
    </w:tbl>
    <w:p>
      <w:pPr>
        <w:spacing w:after="120"/>
      </w:pPr>
    </w:p>
    <w:p>
      <w:pPr>
        <w:pStyle w:val="Titular4"/>
      </w:pPr>
      <w:r>
        <w:t xml:space="preserve">Su manual de puesto</w:t>
      </w:r>
    </w:p>
    <w:p>
      <w:pPr>
        <w:pStyle w:val="Lista"/>
        <w:numPr>
          <w:ilvl w:val="0"/>
          <w:numId w:val="1"/>
        </w:numPr>
      </w:pPr>
      <w:r>
        <w:t xml:space="preserve">Jornada minuto a minuto</w:t>
      </w:r>
    </w:p>
    <w:p>
      <w:pPr>
        <w:pStyle w:val="Lista"/>
        <w:numPr>
          <w:ilvl w:val="0"/>
          <w:numId w:val="1"/>
        </w:numPr>
      </w:pPr>
      <w:r>
        <w:t xml:space="preserve">Procedimientos</w:t>
      </w:r>
    </w:p>
    <w:p>
      <w:pPr>
        <w:pStyle w:val="Lista"/>
        <w:numPr>
          <w:ilvl w:val="0"/>
          <w:numId w:val="1"/>
        </w:numPr>
      </w:pPr>
      <w:r>
        <w:t xml:space="preserve">Su papel comercial real</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1.1 · Gestión de la demanda</w:t>
      </w:r>
    </w:p>
    <w:p>
      <w:pPr>
        <w:pStyle w:val="Lista"/>
        <w:numPr>
          <w:ilvl w:val="0"/>
          <w:numId w:val="1"/>
        </w:numPr>
      </w:pPr>
      <w:r>
        <w:t xml:space="preserve">1.2 · Arquitectura de agenda</w:t>
      </w:r>
    </w:p>
    <w:p>
      <w:pPr>
        <w:pStyle w:val="Lista"/>
        <w:numPr>
          <w:ilvl w:val="0"/>
          <w:numId w:val="1"/>
        </w:numPr>
      </w:pPr>
      <w:r>
        <w:t xml:space="preserve">1.3 · Custodia documental</w:t>
      </w:r>
    </w:p>
    <w:p>
      <w:pPr>
        <w:pStyle w:val="Lista"/>
        <w:numPr>
          <w:ilvl w:val="0"/>
          <w:numId w:val="1"/>
        </w:numPr>
      </w:pPr>
      <w:r>
        <w:t xml:space="preserve">1.4 · Gestión económica de mostrador</w:t>
      </w:r>
    </w:p>
    <w:p>
      <w:pPr>
        <w:pStyle w:val="Lista"/>
        <w:numPr>
          <w:ilvl w:val="0"/>
          <w:numId w:val="1"/>
        </w:numPr>
      </w:pPr>
      <w:r>
        <w:t xml:space="preserve">1.5 · Seguimiento y recuperación</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3049"/>
        <w:gridCol w:w="1893"/>
        <w:gridCol w:w="4418"/>
      </w:tblGrid>
      <w:tr>
        <w:trPr>
          <w:cantSplit/>
          <w:tblHeader/>
        </w:trPr>
        <w:tc>
          <w:tcPr>
            <w:tcW w:w="3049" w:type="dxa"/>
            <w:shd w:val="clear" w:color="auto" w:fill="E9E8E1"/>
          </w:tcPr>
          <w:p>
            <w:pPr>
              <w:pStyle w:val="CeldaCab"/>
            </w:pPr>
            <w:r>
              <w:rPr>
                <w:b/>
              </w:rPr>
              <w:t xml:space="preserve">Fase</w:t>
            </w:r>
          </w:p>
        </w:tc>
        <w:tc>
          <w:tcPr>
            <w:tcW w:w="1893" w:type="dxa"/>
            <w:shd w:val="clear" w:color="auto" w:fill="E9E8E1"/>
          </w:tcPr>
          <w:p>
            <w:pPr>
              <w:pStyle w:val="CeldaCab"/>
            </w:pPr>
            <w:r>
              <w:rPr>
                <w:b/>
              </w:rPr>
              <w:t xml:space="preserve">Su papel</w:t>
            </w:r>
          </w:p>
        </w:tc>
        <w:tc>
          <w:tcPr>
            <w:tcW w:w="4418" w:type="dxa"/>
            <w:shd w:val="clear" w:color="auto" w:fill="E9E8E1"/>
          </w:tcPr>
          <w:p>
            <w:pPr>
              <w:pStyle w:val="CeldaCab"/>
            </w:pPr>
            <w:r>
              <w:rPr>
                <w:b/>
              </w:rPr>
              <w:t xml:space="preserve">Qué significa</w:t>
            </w:r>
          </w:p>
        </w:tc>
      </w:tr>
      <w:tr>
        <w:trPr>
          <w:cantSplit/>
        </w:trPr>
        <w:tc>
          <w:tcPr>
            <w:tcW w:w="3049" w:type="dxa"/>
          </w:tcPr>
          <w:p>
            <w:pPr>
              <w:pStyle w:val="Celda"/>
            </w:pPr>
            <w:r>
              <w:t xml:space="preserve">1. Preparación previa</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2. Recepción y tour</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3. Anamnesis/RGPD y alta</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4. Historial y consentimiento</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5. Pruebas diagnósticas</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6. Briefing</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7. Anamnesis de expectativas</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8. IAC / solicitud / informe</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9. Presentación</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10. Propuesta y cierre</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11. Cierre administrativo</w:t>
            </w:r>
          </w:p>
        </w:tc>
        <w:tc>
          <w:tcPr>
            <w:tcW w:w="1893" w:type="dxa"/>
          </w:tcPr>
          <w:p>
            <w:pPr>
              <w:pStyle w:val="Celda"/>
            </w:pPr>
            <w:r>
              <w:t xml:space="preserve">Se informa</w:t>
            </w:r>
          </w:p>
        </w:tc>
        <w:tc>
          <w:tcPr>
            <w:tcW w:w="4418" w:type="dxa"/>
          </w:tcPr>
          <w:p>
            <w:pPr>
              <w:pStyle w:val="Celda"/>
            </w:pPr>
            <w:r>
              <w:t xml:space="preserve">Recibe el resultado; no decide ni ejecuta.</w:t>
            </w:r>
          </w:p>
        </w:tc>
      </w:tr>
      <w:tr>
        <w:trPr>
          <w:cantSplit/>
        </w:trPr>
        <w:tc>
          <w:tcPr>
            <w:tcW w:w="3049" w:type="dxa"/>
          </w:tcPr>
          <w:p>
            <w:pPr>
              <w:pStyle w:val="Celda"/>
            </w:pPr>
            <w:r>
              <w:t xml:space="preserve">12. Seguimiento</w:t>
            </w:r>
          </w:p>
        </w:tc>
        <w:tc>
          <w:tcPr>
            <w:tcW w:w="1893" w:type="dxa"/>
          </w:tcPr>
          <w:p>
            <w:pPr>
              <w:pStyle w:val="Celda"/>
            </w:pPr>
            <w:r>
              <w:t xml:space="preserve">No interviene</w:t>
            </w:r>
          </w:p>
        </w:tc>
        <w:tc>
          <w:tcPr>
            <w:tcW w:w="4418" w:type="dxa"/>
          </w:tcPr>
          <w:p>
            <w:pPr>
              <w:pStyle w:val="Celda"/>
            </w:pPr>
            <w:r>
              <w:t xml:space="preserve">Esa fase no pasa por sus manos.</w:t>
            </w:r>
          </w:p>
        </w:tc>
      </w:tr>
      <w:tr>
        <w:trPr>
          <w:cantSplit/>
        </w:trPr>
        <w:tc>
          <w:tcPr>
            <w:tcW w:w="3049" w:type="dxa"/>
          </w:tcPr>
          <w:p>
            <w:pPr>
              <w:pStyle w:val="Celda"/>
            </w:pPr>
            <w:r>
              <w:t xml:space="preserve">13. Circuito de producción</w:t>
            </w:r>
          </w:p>
        </w:tc>
        <w:tc>
          <w:tcPr>
            <w:tcW w:w="1893" w:type="dxa"/>
          </w:tcPr>
          <w:p>
            <w:pPr>
              <w:pStyle w:val="Celda"/>
            </w:pPr>
            <w:r>
              <w:t xml:space="preserve">Ejecuta y responde</w:t>
            </w:r>
          </w:p>
        </w:tc>
        <w:tc>
          <w:tcPr>
            <w:tcW w:w="4418" w:type="dxa"/>
          </w:tcPr>
          <w:p>
            <w:pPr>
              <w:pStyle w:val="Celda"/>
            </w:pPr>
            <w:r>
              <w:t xml:space="preserve">Hace el trabajo y rinde cuentas de él.</w:t>
            </w:r>
          </w:p>
        </w:tc>
      </w:tr>
      <w:tr>
        <w:trPr>
          <w:cantSplit/>
        </w:trPr>
        <w:tc>
          <w:tcPr>
            <w:tcW w:w="3049" w:type="dxa"/>
          </w:tcPr>
          <w:p>
            <w:pPr>
              <w:pStyle w:val="Celda"/>
            </w:pPr>
            <w:r>
              <w:t xml:space="preserve">14. Mantenimiento</w:t>
            </w:r>
          </w:p>
        </w:tc>
        <w:tc>
          <w:tcPr>
            <w:tcW w:w="1893" w:type="dxa"/>
          </w:tcPr>
          <w:p>
            <w:pPr>
              <w:pStyle w:val="Celda"/>
            </w:pPr>
            <w:r>
              <w:t xml:space="preserve">No interviene</w:t>
            </w:r>
          </w:p>
        </w:tc>
        <w:tc>
          <w:tcPr>
            <w:tcW w:w="4418" w:type="dxa"/>
          </w:tcPr>
          <w:p>
            <w:pPr>
              <w:pStyle w:val="Celda"/>
            </w:pPr>
            <w:r>
              <w:t xml:space="preserve">Esa fase no pasa por sus manos.</w:t>
            </w:r>
          </w:p>
        </w:tc>
      </w:tr>
    </w:tbl>
    <w:p>
      <w:pPr>
        <w:spacing w:after="120"/>
      </w:pPr>
    </w:p>
    <w:p>
      <w:pPr>
        <w:pStyle w:val="Titular4"/>
      </w:pPr>
      <w:r>
        <w:t xml:space="preserve">Su manual de puesto</w:t>
      </w:r>
    </w:p>
    <w:p>
      <w:pPr>
        <w:pStyle w:val="Lista"/>
        <w:numPr>
          <w:ilvl w:val="0"/>
          <w:numId w:val="1"/>
        </w:numPr>
      </w:pPr>
      <w:r>
        <w:t xml:space="preserve">Poder de bloqueo</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r>
        <w:t xml:space="preserve">Este puesto no tiene funciones de vanguardia propias: las suyas son de gobierno del sistema y están en su manual.</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827"/>
        <w:gridCol w:w="1755"/>
        <w:gridCol w:w="4778"/>
      </w:tblGrid>
      <w:tr>
        <w:trPr>
          <w:cantSplit/>
          <w:tblHeader/>
        </w:trPr>
        <w:tc>
          <w:tcPr>
            <w:tcW w:w="2827" w:type="dxa"/>
            <w:shd w:val="clear" w:color="auto" w:fill="E9E8E1"/>
          </w:tcPr>
          <w:p>
            <w:pPr>
              <w:pStyle w:val="CeldaCab"/>
            </w:pPr>
            <w:r>
              <w:rPr>
                <w:b/>
              </w:rPr>
              <w:t xml:space="preserve">Fase</w:t>
            </w:r>
          </w:p>
        </w:tc>
        <w:tc>
          <w:tcPr>
            <w:tcW w:w="1755" w:type="dxa"/>
            <w:shd w:val="clear" w:color="auto" w:fill="E9E8E1"/>
          </w:tcPr>
          <w:p>
            <w:pPr>
              <w:pStyle w:val="CeldaCab"/>
            </w:pPr>
            <w:r>
              <w:rPr>
                <w:b/>
              </w:rPr>
              <w:t xml:space="preserve">Su papel</w:t>
            </w:r>
          </w:p>
        </w:tc>
        <w:tc>
          <w:tcPr>
            <w:tcW w:w="4778" w:type="dxa"/>
            <w:shd w:val="clear" w:color="auto" w:fill="E9E8E1"/>
          </w:tcPr>
          <w:p>
            <w:pPr>
              <w:pStyle w:val="CeldaCab"/>
            </w:pPr>
            <w:r>
              <w:rPr>
                <w:b/>
              </w:rPr>
              <w:t xml:space="preserve">Qué significa</w:t>
            </w:r>
          </w:p>
        </w:tc>
      </w:tr>
      <w:tr>
        <w:trPr>
          <w:cantSplit/>
        </w:trPr>
        <w:tc>
          <w:tcPr>
            <w:tcW w:w="2827" w:type="dxa"/>
          </w:tcPr>
          <w:p>
            <w:pPr>
              <w:pStyle w:val="Celda"/>
            </w:pPr>
            <w:r>
              <w:t xml:space="preserve">1. Preparación previa</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2. Recepción y tour</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3. Anamnesis/RGPD y alta</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4. Historial y consentimiento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5. Pruebas diagnósticas</w:t>
            </w:r>
          </w:p>
        </w:tc>
        <w:tc>
          <w:tcPr>
            <w:tcW w:w="1755" w:type="dxa"/>
          </w:tcPr>
          <w:p>
            <w:pPr>
              <w:pStyle w:val="Celda"/>
            </w:pPr>
            <w:r>
              <w:t xml:space="preserve">Ejecuta y responde</w:t>
            </w:r>
          </w:p>
        </w:tc>
        <w:tc>
          <w:tcPr>
            <w:tcW w:w="4778" w:type="dxa"/>
          </w:tcPr>
          <w:p>
            <w:pPr>
              <w:pStyle w:val="Celda"/>
            </w:pPr>
            <w:r>
              <w:t xml:space="preserve">Hace el trabajo y rinde cuentas de él.</w:t>
            </w:r>
          </w:p>
        </w:tc>
      </w:tr>
      <w:tr>
        <w:trPr>
          <w:cantSplit/>
        </w:trPr>
        <w:tc>
          <w:tcPr>
            <w:tcW w:w="2827" w:type="dxa"/>
          </w:tcPr>
          <w:p>
            <w:pPr>
              <w:pStyle w:val="Celda"/>
            </w:pPr>
            <w:r>
              <w:t xml:space="preserve">6. Briefing</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7. Anamnesis de expectativas</w:t>
            </w:r>
          </w:p>
        </w:tc>
        <w:tc>
          <w:tcPr>
            <w:tcW w:w="1755" w:type="dxa"/>
          </w:tcPr>
          <w:p>
            <w:pPr>
              <w:pStyle w:val="Celda"/>
            </w:pPr>
            <w:r>
              <w:t xml:space="preserve">Se consulta</w:t>
            </w:r>
          </w:p>
        </w:tc>
        <w:tc>
          <w:tcPr>
            <w:tcW w:w="4778" w:type="dxa"/>
          </w:tcPr>
          <w:p>
            <w:pPr>
              <w:pStyle w:val="Celda"/>
            </w:pPr>
            <w:r>
              <w:t xml:space="preserve">Su criterio se pide antes de decidir, no después.</w:t>
            </w:r>
          </w:p>
        </w:tc>
      </w:tr>
      <w:tr>
        <w:trPr>
          <w:cantSplit/>
        </w:trPr>
        <w:tc>
          <w:tcPr>
            <w:tcW w:w="2827" w:type="dxa"/>
          </w:tcPr>
          <w:p>
            <w:pPr>
              <w:pStyle w:val="Celda"/>
            </w:pPr>
            <w:r>
              <w:t xml:space="preserve">8. IAC / solicitud / informe</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9. Presentación</w:t>
            </w:r>
          </w:p>
        </w:tc>
        <w:tc>
          <w:tcPr>
            <w:tcW w:w="1755" w:type="dxa"/>
          </w:tcPr>
          <w:p>
            <w:pPr>
              <w:pStyle w:val="Celda"/>
            </w:pPr>
            <w:r>
              <w:t xml:space="preserve">Se informa</w:t>
            </w:r>
          </w:p>
        </w:tc>
        <w:tc>
          <w:tcPr>
            <w:tcW w:w="4778" w:type="dxa"/>
          </w:tcPr>
          <w:p>
            <w:pPr>
              <w:pStyle w:val="Celda"/>
            </w:pPr>
            <w:r>
              <w:t xml:space="preserve">Recibe el resultado; no decide ni ejecuta.</w:t>
            </w:r>
          </w:p>
        </w:tc>
      </w:tr>
      <w:tr>
        <w:trPr>
          <w:cantSplit/>
        </w:trPr>
        <w:tc>
          <w:tcPr>
            <w:tcW w:w="2827" w:type="dxa"/>
          </w:tcPr>
          <w:p>
            <w:pPr>
              <w:pStyle w:val="Celda"/>
            </w:pPr>
            <w:r>
              <w:t xml:space="preserve">10. Propuesta y cierre</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11. Cierre administrativo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12. Seguimiento</w:t>
            </w:r>
          </w:p>
        </w:tc>
        <w:tc>
          <w:tcPr>
            <w:tcW w:w="1755" w:type="dxa"/>
          </w:tcPr>
          <w:p>
            <w:pPr>
              <w:pStyle w:val="Celda"/>
            </w:pPr>
            <w:r>
              <w:t xml:space="preserve">No interviene</w:t>
            </w:r>
          </w:p>
        </w:tc>
        <w:tc>
          <w:tcPr>
            <w:tcW w:w="4778" w:type="dxa"/>
          </w:tcPr>
          <w:p>
            <w:pPr>
              <w:pStyle w:val="Celda"/>
            </w:pPr>
            <w:r>
              <w:t xml:space="preserve">Esa fase no pasa por sus manos.</w:t>
            </w:r>
          </w:p>
        </w:tc>
      </w:tr>
      <w:tr>
        <w:trPr>
          <w:cantSplit/>
        </w:trPr>
        <w:tc>
          <w:tcPr>
            <w:tcW w:w="2827" w:type="dxa"/>
          </w:tcPr>
          <w:p>
            <w:pPr>
              <w:pStyle w:val="Celda"/>
            </w:pPr>
            <w:r>
              <w:t xml:space="preserve">13. Circuito de producción</w:t>
            </w:r>
          </w:p>
        </w:tc>
        <w:tc>
          <w:tcPr>
            <w:tcW w:w="1755" w:type="dxa"/>
          </w:tcPr>
          <w:p>
            <w:pPr>
              <w:pStyle w:val="Celda"/>
            </w:pPr>
            <w:r>
              <w:t xml:space="preserve">Se consulta</w:t>
            </w:r>
          </w:p>
        </w:tc>
        <w:tc>
          <w:tcPr>
            <w:tcW w:w="4778" w:type="dxa"/>
          </w:tcPr>
          <w:p>
            <w:pPr>
              <w:pStyle w:val="Celda"/>
            </w:pPr>
            <w:r>
              <w:t xml:space="preserve">Su criterio se pide antes de decidir, no después.</w:t>
            </w:r>
          </w:p>
        </w:tc>
      </w:tr>
      <w:tr>
        <w:trPr>
          <w:cantSplit/>
        </w:trPr>
        <w:tc>
          <w:tcPr>
            <w:tcW w:w="2827" w:type="dxa"/>
          </w:tcPr>
          <w:p>
            <w:pPr>
              <w:pStyle w:val="Celda"/>
            </w:pPr>
            <w:r>
              <w:t xml:space="preserve">14. Mantenimiento</w:t>
            </w:r>
          </w:p>
        </w:tc>
        <w:tc>
          <w:tcPr>
            <w:tcW w:w="1755" w:type="dxa"/>
          </w:tcPr>
          <w:p>
            <w:pPr>
              <w:pStyle w:val="Celda"/>
            </w:pPr>
            <w:r>
              <w:t xml:space="preserve">No interviene</w:t>
            </w:r>
          </w:p>
        </w:tc>
        <w:tc>
          <w:tcPr>
            <w:tcW w:w="4778" w:type="dxa"/>
          </w:tcPr>
          <w:p>
            <w:pPr>
              <w:pStyle w:val="Celda"/>
            </w:pPr>
            <w:r>
              <w:t xml:space="preserve">Esa fase no pasa por sus manos.</w:t>
            </w:r>
          </w:p>
        </w:tc>
      </w:tr>
    </w:tbl>
    <w:p>
      <w:pPr>
        <w:spacing w:after="120"/>
      </w:pPr>
    </w:p>
    <w:p>
      <w:pPr>
        <w:pStyle w:val="Titular4"/>
      </w:pPr>
      <w:r>
        <w:t xml:space="preserve">Su manual de puesto</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4.1 · Gestión de equipos</w:t>
      </w:r>
    </w:p>
    <w:p>
      <w:pPr>
        <w:pStyle w:val="Lista"/>
        <w:numPr>
          <w:ilvl w:val="0"/>
          <w:numId w:val="1"/>
        </w:numPr>
      </w:pPr>
      <w:r>
        <w:t xml:space="preserve">4.2 · Batería diagnóstica</w:t>
      </w:r>
    </w:p>
    <w:p>
      <w:pPr>
        <w:pStyle w:val="Lista"/>
        <w:numPr>
          <w:ilvl w:val="0"/>
          <w:numId w:val="1"/>
        </w:numPr>
      </w:pPr>
      <w:r>
        <w:t xml:space="preserve">4.3 · Esterilización y bioseguridad</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pPr>
        <w:pStyle w:val="Titular4"/>
      </w:pPr>
      <w:r>
        <w:t xml:space="preserve">Su papel en las catorce fases del recorrido</w:t>
      </w:r>
    </w:p>
    <w:p>
      <w:r>
        <w:t xml:space="preserve">Sale de la matriz RACI del Manual Maestro. Las fases 1 a 12 llevan al Protocolo de Primera Visita, donde están contadas minuto a minuto.</w:t>
      </w:r>
    </w:p>
    <w:tbl>
      <w:tblPr>
        <w:tblStyle w:val="Rejilla"/>
        <w:tblW w:w="9360" w:type="dxa"/>
        <w:tblLayout w:type="fixed"/>
      </w:tblPr>
      <w:tblGrid>
        <w:gridCol w:w="2982"/>
        <w:gridCol w:w="1337"/>
        <w:gridCol w:w="5041"/>
      </w:tblGrid>
      <w:tr>
        <w:trPr>
          <w:cantSplit/>
          <w:tblHeader/>
        </w:trPr>
        <w:tc>
          <w:tcPr>
            <w:tcW w:w="2982" w:type="dxa"/>
            <w:shd w:val="clear" w:color="auto" w:fill="E9E8E1"/>
          </w:tcPr>
          <w:p>
            <w:pPr>
              <w:pStyle w:val="CeldaCab"/>
            </w:pPr>
            <w:r>
              <w:rPr>
                <w:b/>
              </w:rPr>
              <w:t xml:space="preserve">Fase</w:t>
            </w:r>
          </w:p>
        </w:tc>
        <w:tc>
          <w:tcPr>
            <w:tcW w:w="1337" w:type="dxa"/>
            <w:shd w:val="clear" w:color="auto" w:fill="E9E8E1"/>
          </w:tcPr>
          <w:p>
            <w:pPr>
              <w:pStyle w:val="CeldaCab"/>
            </w:pPr>
            <w:r>
              <w:rPr>
                <w:b/>
              </w:rPr>
              <w:t xml:space="preserve">Su papel</w:t>
            </w:r>
          </w:p>
        </w:tc>
        <w:tc>
          <w:tcPr>
            <w:tcW w:w="5041" w:type="dxa"/>
            <w:shd w:val="clear" w:color="auto" w:fill="E9E8E1"/>
          </w:tcPr>
          <w:p>
            <w:pPr>
              <w:pStyle w:val="CeldaCab"/>
            </w:pPr>
            <w:r>
              <w:rPr>
                <w:b/>
              </w:rPr>
              <w:t xml:space="preserve">Qué significa</w:t>
            </w:r>
          </w:p>
        </w:tc>
      </w:tr>
      <w:tr>
        <w:trPr>
          <w:cantSplit/>
        </w:trPr>
        <w:tc>
          <w:tcPr>
            <w:tcW w:w="2982" w:type="dxa"/>
          </w:tcPr>
          <w:p>
            <w:pPr>
              <w:pStyle w:val="Celda"/>
            </w:pPr>
            <w:r>
              <w:t xml:space="preserve">1. Preparación previa</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2. Recepción y tour</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3. Anamnesis/RGPD y alta</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4. Historial y consentimiento</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5. Pruebas diagnósticas</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6. Briefing</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7. Anamnesis de expectativas</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8. IAC / solicitud / informe</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9. Presentación</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10. Propuesta y cierre</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11. Cierre administrativo</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12. Seguimiento</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13. Circuito de producción</w:t>
            </w:r>
          </w:p>
        </w:tc>
        <w:tc>
          <w:tcPr>
            <w:tcW w:w="1337" w:type="dxa"/>
          </w:tcPr>
          <w:p>
            <w:pPr>
              <w:pStyle w:val="Celda"/>
            </w:pPr>
            <w:r>
              <w:t xml:space="preserve">No interviene</w:t>
            </w:r>
          </w:p>
        </w:tc>
        <w:tc>
          <w:tcPr>
            <w:tcW w:w="5041" w:type="dxa"/>
          </w:tcPr>
          <w:p>
            <w:pPr>
              <w:pStyle w:val="Celda"/>
            </w:pPr>
            <w:r>
              <w:t xml:space="preserve">Esa fase no pasa por sus manos.</w:t>
            </w:r>
          </w:p>
        </w:tc>
      </w:tr>
      <w:tr>
        <w:trPr>
          <w:cantSplit/>
        </w:trPr>
        <w:tc>
          <w:tcPr>
            <w:tcW w:w="2982" w:type="dxa"/>
          </w:tcPr>
          <w:p>
            <w:pPr>
              <w:pStyle w:val="Celda"/>
            </w:pPr>
            <w:r>
              <w:t xml:space="preserve">14. Mantenimiento</w:t>
            </w:r>
          </w:p>
        </w:tc>
        <w:tc>
          <w:tcPr>
            <w:tcW w:w="1337" w:type="dxa"/>
          </w:tcPr>
          <w:p>
            <w:pPr>
              <w:pStyle w:val="Celda"/>
            </w:pPr>
            <w:r>
              <w:t xml:space="preserve">Se consulta</w:t>
            </w:r>
          </w:p>
        </w:tc>
        <w:tc>
          <w:tcPr>
            <w:tcW w:w="5041" w:type="dxa"/>
          </w:tcPr>
          <w:p>
            <w:pPr>
              <w:pStyle w:val="Celda"/>
            </w:pPr>
            <w:r>
              <w:t xml:space="preserve">Su criterio se pide antes de decidir, no después.</w:t>
            </w:r>
          </w:p>
        </w:tc>
      </w:tr>
    </w:tbl>
    <w:p>
      <w:pPr>
        <w:spacing w:after="120"/>
      </w:pPr>
    </w:p>
    <w:p>
      <w:pPr>
        <w:pStyle w:val="Titular4"/>
      </w:pPr>
      <w:r>
        <w:t xml:space="preserve">Su manual de puesto</w:t>
      </w:r>
    </w:p>
    <w:p>
      <w:pPr>
        <w:pStyle w:val="Lista"/>
        <w:numPr>
          <w:ilvl w:val="0"/>
          <w:numId w:val="1"/>
        </w:numPr>
      </w:pPr>
      <w:r>
        <w:t xml:space="preserve">Por qué este puesto es estratégico</w:t>
      </w:r>
    </w:p>
    <w:p>
      <w:pPr>
        <w:pStyle w:val="Lista"/>
        <w:numPr>
          <w:ilvl w:val="0"/>
          <w:numId w:val="1"/>
        </w:numPr>
      </w:pPr>
      <w:r>
        <w:t xml:space="preserve">Procedimientos</w:t>
      </w:r>
    </w:p>
    <w:p>
      <w:pPr>
        <w:pStyle w:val="Lista"/>
        <w:numPr>
          <w:ilvl w:val="0"/>
          <w:numId w:val="1"/>
        </w:numPr>
      </w:pPr>
      <w:r>
        <w:t xml:space="preserve">Indicadores del puesto</w:t>
      </w:r>
    </w:p>
    <w:p>
      <w:pPr>
        <w:pStyle w:val="Lista"/>
        <w:numPr>
          <w:ilvl w:val="0"/>
          <w:numId w:val="1"/>
        </w:numPr>
      </w:pPr>
      <w:r>
        <w:t xml:space="preserve">Contingencias</w:t>
      </w:r>
    </w:p>
    <w:p>
      <w:pPr>
        <w:pStyle w:val="Lista"/>
        <w:numPr>
          <w:ilvl w:val="0"/>
          <w:numId w:val="1"/>
        </w:numPr>
      </w:pPr>
      <w:r>
        <w:t xml:space="preserve">Criterios de calidad</w:t>
      </w:r>
    </w:p>
    <w:p>
      <w:pPr>
        <w:pStyle w:val="Lista"/>
        <w:numPr>
          <w:ilvl w:val="0"/>
          <w:numId w:val="1"/>
        </w:numPr>
      </w:pPr>
      <w:r>
        <w:t xml:space="preserve">Primeros 30 días en el puesto</w:t>
      </w:r>
    </w:p>
    <w:p>
      <w:pPr>
        <w:pStyle w:val="Titular4"/>
      </w:pPr>
      <w:r>
        <w:t xml:space="preserve">Sus funciones de vanguardia</w:t>
      </w:r>
    </w:p>
    <w:p>
      <w:pPr>
        <w:pStyle w:val="Lista"/>
        <w:numPr>
          <w:ilvl w:val="0"/>
          <w:numId w:val="1"/>
        </w:numPr>
      </w:pPr>
      <w:r>
        <w:t xml:space="preserve">3.1 · Programa de mantenimiento</w:t>
      </w:r>
    </w:p>
    <w:p>
      <w:pPr>
        <w:pStyle w:val="Lista"/>
        <w:numPr>
          <w:ilvl w:val="0"/>
          <w:numId w:val="1"/>
        </w:numPr>
      </w:pPr>
      <w:r>
        <w:t xml:space="preserve">3.2 · Detección precoz y derivación</w:t>
      </w:r>
    </w:p>
    <w:p>
      <w:pPr>
        <w:pStyle w:val="Lista"/>
        <w:numPr>
          <w:ilvl w:val="0"/>
          <w:numId w:val="1"/>
        </w:numPr>
      </w:pPr>
      <w:r>
        <w:t xml:space="preserve">3.3 · Monitorización remota</w:t>
      </w:r>
    </w:p>
    <w:p>
      <w:pPr>
        <w:pStyle w:val="Lista"/>
        <w:numPr>
          <w:ilvl w:val="0"/>
          <w:numId w:val="1"/>
        </w:numPr>
      </w:pPr>
      <w:r>
        <w:t xml:space="preserve">3.4 · El perfil Giraldo anual</w:t>
      </w:r>
    </w:p>
    <w:p>
      <w:pPr>
        <w:pStyle w:val="Titular4"/>
      </w:pPr>
      <w:r>
        <w:t xml:space="preserve">Dónde está todo lo suyo</w:t>
      </w:r>
    </w:p>
    <w:p>
      <w:pPr>
        <w:pStyle w:val="Lista"/>
        <w:numPr>
          <w:ilvl w:val="0"/>
          <w:numId w:val="1"/>
        </w:numPr>
      </w:pPr>
      <w:r>
        <w:t xml:space="preserve">Manual del puesto, completo</w:t>
      </w:r>
    </w:p>
    <w:p>
      <w:pPr>
        <w:pStyle w:val="Lista"/>
        <w:numPr>
          <w:ilvl w:val="0"/>
          <w:numId w:val="1"/>
        </w:numPr>
      </w:pPr>
      <w:r>
        <w:t xml:space="preserve">La matriz RACI de las catorce fases</w:t>
      </w:r>
    </w:p>
    <w:p>
      <w:pPr>
        <w:pStyle w:val="Lista"/>
        <w:numPr>
          <w:ilvl w:val="0"/>
          <w:numId w:val="1"/>
        </w:numPr>
      </w:pPr>
      <w:r>
        <w:t xml:space="preserve">El Protocolo de Primera Visita, fase a fase</w:t>
      </w:r>
    </w:p>
    <w:p>
      <w:pPr>
        <w:pStyle w:val="Lista"/>
        <w:numPr>
          <w:ilvl w:val="0"/>
          <w:numId w:val="1"/>
        </w:numPr>
      </w:pPr>
      <w:r>
        <w:t xml:space="preserve">Protocolos operativos por perfil</w:t>
      </w:r>
    </w:p>
    <w:p>
      <w:pPr>
        <w:pStyle w:val="Lista"/>
        <w:numPr>
          <w:ilvl w:val="0"/>
          <w:numId w:val="1"/>
        </w:numPr>
      </w:pPr>
      <w:r>
        <w:t xml:space="preserve">Puesta en marcha por perfil</w:t>
      </w:r>
    </w:p>
    <w:p>
      <w:r>
        <w:t xml:space="preserve">Común a los seis</w:t>
      </w:r>
    </w:p>
    <w:p>
      <w:pPr>
        <w:pStyle w:val="Titular3"/>
      </w:pPr>
      <w:r>
        <w:t xml:space="preserve">Lo que se cumple en todos los puestos</w:t>
      </w:r>
    </w:p>
    <w:p>
      <w:pPr>
        <w:pStyle w:val="Titular4"/>
      </w:pPr>
      <w:r>
        <w:t xml:space="preserve">Estándares transversales</w:t>
      </w:r>
    </w:p>
    <w:p>
      <w:r>
        <w:t xml:space="preserve">Comunicación y trato, seguridad clínica, protección de datos, entorno físico y agenda. Se cumplen en las catorce fases y en los seis puestos.</w:t>
      </w:r>
    </w:p>
    <w:p>
      <w:pPr>
        <w:pStyle w:val="Lista"/>
        <w:numPr>
          <w:ilvl w:val="0"/>
          <w:numId w:val="1"/>
        </w:numPr>
      </w:pPr>
      <w:r>
        <w:t xml:space="preserve">Ver los estándares transversales</w:t>
      </w:r>
    </w:p>
    <w:p>
      <w:pPr>
        <w:pStyle w:val="Titular4"/>
      </w:pPr>
      <w:r>
        <w:t xml:space="preserve">Cómo se mide si funciona</w:t>
      </w:r>
    </w:p>
    <w:p>
      <w:r>
        <w:t xml:space="preserve">Cada puesto tiene sus indicadores, y el centro tiene los diez del cuadro de mando. Sin serie propia, cualquier objetivo es una opinión.</w:t>
      </w:r>
    </w:p>
    <w:p>
      <w:pPr>
        <w:pStyle w:val="Lista"/>
        <w:numPr>
          <w:ilvl w:val="0"/>
          <w:numId w:val="1"/>
        </w:numPr>
      </w:pPr>
      <w:r>
        <w:t xml:space="preserve">Indicadores e interdependencias</w:t>
      </w:r>
    </w:p>
    <w:p>
      <w:pPr>
        <w:pStyle w:val="Lista"/>
        <w:numPr>
          <w:ilvl w:val="0"/>
          <w:numId w:val="1"/>
        </w:numPr>
      </w:pPr>
      <w:r>
        <w:t xml:space="preserve">Los números del centro, mes a mes</w:t>
      </w:r>
    </w:p>
    <w:p>
      <w:pPr>
        <w:pStyle w:val="Titular4"/>
      </w:pPr>
      <w:r>
        <w:t xml:space="preserve">Qué pasa si un puesto no cumple</w:t>
      </w:r>
    </w:p>
    <w:p>
      <w:r>
        <w:t xml:space="preserve">La matriz de obligaciones dice qué se rompe aguas abajo cuando un puesto se salta lo suyo. No es una amenaza: es la razón por la que el orden importa.</w:t>
      </w:r>
    </w:p>
    <w:p>
      <w:pPr>
        <w:pStyle w:val="Lista"/>
        <w:numPr>
          <w:ilvl w:val="0"/>
          <w:numId w:val="1"/>
        </w:numPr>
      </w:pPr>
      <w:r>
        <w:t xml:space="preserve">Ver la matriz de obligaciones</w:t>
      </w:r>
    </w:p>
    <w:p>
      <w:pPr>
        <w:pStyle w:val="Titular4"/>
      </w:pPr>
      <w:r>
        <w:t xml:space="preserve">Cómo se aprende y se certifica</w:t>
      </w:r>
    </w:p>
    <w:p>
      <w:r>
        <w:t xml:space="preserve">Incorporación en los primeros treinta días, certificación por rol y rúbrica de auditoría de una primera visita real.</w:t>
      </w:r>
    </w:p>
    <w:p>
      <w:pPr>
        <w:pStyle w:val="Lista"/>
        <w:numPr>
          <w:ilvl w:val="0"/>
          <w:numId w:val="1"/>
        </w:numPr>
      </w:pPr>
      <w:r>
        <w:t xml:space="preserve">Formación y certificación por rol</w:t>
      </w:r>
    </w:p>
    <w:p>
      <w:pPr>
        <w:pStyle w:val="Lista"/>
        <w:numPr>
          <w:ilvl w:val="0"/>
          <w:numId w:val="1"/>
        </w:numPr>
      </w:pPr>
      <w:r>
        <w:t xml:space="preserve">Rúbrica de auditoría de una Primera Visita</w:t>
      </w: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11602"/>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11602"/>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hecho siga bien dentro de cinco años.</w:t>
      </w:r>
    </w:p>
    <w:p>
      <w:r>
        <w:t xml:space="preserve">Dónde vive este documento</w:t>
      </w:r>
    </w:p>
    <w:p>
      <w:r>
        <w:t xml:space="preserve">El programa entero —qué es en una tarjeta, por qué se ofrece a todos, los cuatro argumentos, el speech situación por situación, el manejo de objeciones, quién lo ofrece y cuándo, la campaña sobre la base de datos, las herramientas y la formación, el panel de control, el marco legal y el checklist de arranque— está en el </w:t>
      </w:r>
      <w:r>
        <w:t xml:space="preserve">Plan Maestro de Marketing, apartado 20</w:t>
      </w:r>
      <w:r>
        <w:t xml:space="preserve">, en su Parte VIII.</w:t>
      </w:r>
    </w:p>
    <w:p>
      <w:r>
        <w:t xml:space="preserve">Se mudó allí porque es donde se usa: el catálogo de marketing trae al paciente y el GTC es lo que hace que se quede. Tenerlo en dos sitios habría creado dos versiones del mismo speech, que es exactamente lo que este sistema existe para evitar.</w:t>
      </w:r>
    </w:p>
    <w:p>
      <w:r>
        <w:t xml:space="preserve">Abrir el programa GTC</w:t>
      </w:r>
    </w:p>
    <w:p>
      <w:r>
        <w:t xml:space="preserve">Dónde se engancha con el recorrido</w:t>
      </w:r>
    </w:p>
    <w:p>
      <w:r>
        <w:t xml:space="preserve">Se presenta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Los números del centro</w:t>
      </w:r>
    </w:p>
    <w:p>
      <w:pPr>
        <w:pStyle w:val="Sumario"/>
      </w:pPr>
      <w:r>
        <w:t xml:space="preserve">Los diez indicadores y los cinco números, mes a mes.</w:t>
      </w:r>
    </w:p>
    <w:p>
      <w:r>
        <w:t xml:space="preserve">Instrumento de medición · Ejercicio 2026 · Uso interno</w:t>
      </w:r>
    </w:p>
    <w:p>
      <w:pPr>
        <w:pStyle w:val="Titular2"/>
      </w:pPr>
      <w:r>
        <w:t xml:space="preserve">Los números del </w:t>
      </w:r>
      <w:r>
        <w:rPr>
          <w:i/>
        </w:rPr>
        <w:t xml:space="preserve">centro</w:t>
      </w:r>
    </w:p>
    <w:p>
      <w:r>
        <w:t xml:space="preserve">Un cuaderno donde se apunta, mes a mes, lo que de verdad pasa en la clínica. Diez cosas que se cuentan y siete datos de contabilidad. Con eso, la hoja calcula sola los cinco números que la Junta necesita para decidir con hechos en vez de con impresiones.</w:t>
      </w:r>
    </w:p>
    <w:p>
      <w:r>
        <w:t xml:space="preserve">Por qué existe</w:t>
      </w:r>
    </w:p>
    <w:p>
      <w:r>
        <w:t xml:space="preserve">Hoy el centro no tiene ni un solo mes medido. Todas las cifras económicas del Plan de Dirección son </w:t>
      </w:r>
      <w:r>
        <w:rPr>
          <w:b/>
        </w:rPr>
        <w:t xml:space="preserve">modelos sobre rangos del sector</w:t>
      </w:r>
      <w:r>
        <w:t xml:space="preserve">, no datos propios. Mientras siga así, cualquier objetivo comercial es una opinión bien argumentada. Esta hoja es la que convierte la opinión en dato.</w:t>
      </w:r>
    </w:p>
    <w:p>
      <w:r>
        <w:t xml:space="preserve">Quién la rellena y cuándo</w:t>
      </w:r>
    </w:p>
    <w:p>
      <w:r>
        <w:t xml:space="preserve">Gerencia, </w:t>
      </w:r>
      <w:r>
        <w:rPr>
          <w:b/>
        </w:rPr>
        <w:t xml:space="preserve">una vez al mes</w:t>
      </w:r>
      <w:r>
        <w:t xml:space="preserve">, entre el día 15 y el 21. Se tarda unos veinte minutos: casi todo sale del gestor de clínica y de la contabilidad del mes. Hay doce hojas, una por mes del año.</w:t>
      </w:r>
    </w:p>
    <w:p>
      <w:r>
        <w:t xml:space="preserve">Qué hay que teclear</w:t>
      </w:r>
    </w:p>
    <w:p>
      <w:r>
        <w:t xml:space="preserve">Solo las casillas amarillas. </w:t>
      </w:r>
      <w:r>
        <w:rPr>
          <w:b/>
        </w:rPr>
        <w:t xml:space="preserve">Diez indicadores</w:t>
      </w:r>
      <w:r>
        <w:t xml:space="preserve"> —cuántos, sobre cuántos— y </w:t>
      </w:r>
      <w:r>
        <w:rPr>
          <w:b/>
        </w:rPr>
        <w:t xml:space="preserve">siete entradas</w:t>
      </w:r>
      <w:r>
        <w:t xml:space="preserve"> de dinero y capacidad. El resultado, el semáforo de color, el resumen del año y la tendencia se calculan solos.</w:t>
      </w:r>
    </w:p>
    <w:p>
      <w:r>
        <w:t xml:space="preserve">Qué sale de aquí</w:t>
      </w:r>
    </w:p>
    <w:p>
      <w:r>
        <w:t xml:space="preserve">Los </w:t>
      </w:r>
      <w:r>
        <w:rPr>
          <w:b/>
        </w:rPr>
        <w:t xml:space="preserve">cinco números</w:t>
      </w:r>
      <w:r>
        <w:t xml:space="preserve">: lo que cuesta tener el centro abierto, cuánto hay que facturar para no perder dinero, cuántas primeras visitas al día hacen falta para llegar ahí, cuánto trabajo cobrado queda por hacer y cuántos meses aguanta el centro sin ingresar nada.</w:t>
      </w:r>
    </w:p>
    <w:p>
      <w:r>
        <w:t xml:space="preserve">Dónde se guarda</w:t>
      </w:r>
    </w:p>
    <w:p>
      <w:r>
        <w:t xml:space="preserve">En este mismo ordenador, dentro del navegador. </w:t>
      </w:r>
      <w:r>
        <w:rPr>
          <w:b/>
        </w:rPr>
        <w:t xml:space="preserve">No se envía nada a ningún sitio</w:t>
      </w:r>
      <w:r>
        <w:t xml:space="preserve"> y no lo ve nadie más. Tampoco se sincroniza: para llevárselo a otro equipo hay que usar «Guardar copia» y «Cargar copia».</w:t>
      </w:r>
    </w:p>
    <w:p>
      <w:r>
        <w:t xml:space="preserve">La regla que no se salta</w:t>
      </w:r>
    </w:p>
    <w:p>
      <w:r>
        <w:t xml:space="preserve">Un hueco se declara. Si un mes falta un dato, la casilla dice </w:t>
      </w:r>
      <w:r>
        <w:rPr>
          <w:b/>
        </w:rPr>
        <w:t xml:space="preserve">SIN DATO</w:t>
      </w:r>
      <w:r>
        <w:t xml:space="preserve"> y cuenta como roja; los cinco números dicen </w:t>
      </w:r>
      <w:r>
        <w:rPr>
          <w:b/>
        </w:rPr>
        <w:t xml:space="preserve">pendiente</w:t>
      </w:r>
      <w:r>
        <w:t xml:space="preserve"> en vez de dar una cifra inventada. Un número inventado es peor que un hueco reconocido.</w:t>
      </w:r>
    </w:p>
    <w:p>
      <w:r>
        <w:t xml:space="preserve">De arriba abajo, este es el recorrido</w:t>
      </w:r>
    </w:p>
    <w:p>
      <w:pPr>
        <w:pStyle w:val="Lista"/>
        <w:numPr>
          <w:ilvl w:val="0"/>
          <w:numId w:val="1"/>
        </w:numPr>
      </w:pPr>
      <w:r>
        <w:rPr>
          <w:b/>
        </w:rPr>
        <w:t xml:space="preserve">1</w:t>
      </w:r>
      <w:r>
        <w:t xml:space="preserve">Se leen las </w:t>
      </w:r>
      <w:r>
        <w:t xml:space="preserve">definiciones</w:t>
      </w:r>
      <w:r>
        <w:t xml:space="preserve">: qué cuenta y qué no cuenta en cada indicador, para que un mes se mida igual que el siguiente.</w:t>
      </w:r>
    </w:p>
    <w:p>
      <w:pPr>
        <w:pStyle w:val="Lista"/>
        <w:numPr>
          <w:ilvl w:val="0"/>
          <w:numId w:val="1"/>
        </w:numPr>
      </w:pPr>
      <w:r>
        <w:rPr>
          <w:b/>
        </w:rPr>
        <w:t xml:space="preserve">2</w:t>
      </w:r>
      <w:r>
        <w:t xml:space="preserve">Cada mes se rellena su </w:t>
      </w:r>
      <w:r>
        <w:t xml:space="preserve">hoja</w:t>
      </w:r>
      <w:r>
        <w:t xml:space="preserve">: diez numeradores, diez denominadores y una nota de estado.</w:t>
      </w:r>
    </w:p>
    <w:p>
      <w:pPr>
        <w:pStyle w:val="Lista"/>
        <w:numPr>
          <w:ilvl w:val="0"/>
          <w:numId w:val="1"/>
        </w:numPr>
      </w:pPr>
      <w:r>
        <w:rPr>
          <w:b/>
        </w:rPr>
        <w:t xml:space="preserve">3</w:t>
      </w:r>
      <w:r>
        <w:t xml:space="preserve">El </w:t>
      </w:r>
      <w:r>
        <w:t xml:space="preserve">resumen anual</w:t>
      </w:r>
      <w:r>
        <w:t xml:space="preserve"> junta los doce meses en una rejilla y enseña la tendencia sin que nadie la calcule.</w:t>
      </w:r>
    </w:p>
    <w:p>
      <w:pPr>
        <w:pStyle w:val="Lista"/>
        <w:numPr>
          <w:ilvl w:val="0"/>
          <w:numId w:val="1"/>
        </w:numPr>
      </w:pPr>
      <w:r>
        <w:rPr>
          <w:b/>
        </w:rPr>
        <w:t xml:space="preserve">4</w:t>
      </w:r>
      <w:r>
        <w:t xml:space="preserve">Con las siete entradas de contabilidad salen </w:t>
      </w:r>
      <w:r>
        <w:t xml:space="preserve">los cinco números</w:t>
      </w:r>
      <w:r>
        <w:t xml:space="preserve">, que son los que van a la Junta.</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