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Display container type once in the driver container summary</w:t>
      </w:r>
    </w:p>
    <w:p>
      <w:pPr>
        <w:pStyle w:val="Subtitle"/>
        <w:keepNext/>
      </w:pPr>
      <w:r>
        <w:t>QA-008 | P3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Lái xe — Bùi Quang Hường; login bqhuong; Chrome mobile viewport 390 × 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https://vantai.tingting.vip/my-trips/20</w:t>
      </w:r>
    </w:p>
    <w:p>
      <w:pPr>
        <w:pStyle w:val="Heading1"/>
      </w:pPr>
      <w:r>
        <w:t>Existing behaviour</w:t>
      </w:r>
    </w:p>
    <w:p>
      <w:r>
        <w:t>Under Số cont TSTU4182600, the summary line reads ‘20’DC · 20DC’. Two visually different spellings of the same apparent container type are displayed side by side without labels that distinguish them.</w:t>
      </w:r>
    </w:p>
    <w:p>
      <w:pPr>
        <w:pStyle w:val="Heading1"/>
      </w:pPr>
      <w:r>
        <w:t>Target behaviour</w:t>
      </w:r>
    </w:p>
    <w:p>
      <w:r>
        <w:t>Show one consistently formatted container-type value in the driver summary. If the two values actually represent different business concepts, use distinct descriptive labels rather than presenting them as an unexplained duplicate.</w:t>
      </w:r>
    </w:p>
    <w:p>
      <w:pPr>
        <w:pStyle w:val="Heading1"/>
      </w:pPr>
      <w:r>
        <w:t>Impact</w:t>
      </w:r>
    </w:p>
    <w:p>
      <w:r>
        <w:t>The repeated value adds noise to a compact mobile card and can make drivers wonder whether the two codes have different meanings.</w:t>
      </w:r>
    </w:p>
    <w:p>
      <w:pPr>
        <w:pStyle w:val="Heading1"/>
      </w:pPr>
      <w:r>
        <w:t>Cause and investigation</w:t>
      </w:r>
    </w:p>
    <w:p>
      <w:r>
        <w:t>Hypothesis only: the summary may concatenate a formatted type label with its raw code. Inspect the fields before removing either; this visual review does not prove their backend semantics.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On 13 September 2026, sign in to staging as bqhuong and open /my-trips/20 in Chrome at 390 × 844.</w:t>
      </w:r>
    </w:p>
    <w:p>
      <w:pPr>
        <w:spacing w:after="60"/>
        <w:ind w:left="317" w:hanging="317"/>
      </w:pPr>
      <w:r>
        <w:t xml:space="preserve">2. </w:t>
      </w:r>
      <w:r>
        <w:t>Collapse Thông tin lệnh and Thông tin xuất hóa đơn, then find SỐ CONT &amp; SEAL.</w:t>
      </w:r>
    </w:p>
    <w:p>
      <w:pPr>
        <w:spacing w:after="60"/>
        <w:ind w:left="317" w:hanging="317"/>
      </w:pPr>
      <w:r>
        <w:t xml:space="preserve">3. </w:t>
      </w:r>
      <w:r>
        <w:t>Read the line directly below TSTU4182600: 20’DC · 20DC.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TSTU4182600 displays one canonical container-type value without an equivalent raw-code duplicate.</w:t>
      </w:r>
    </w:p>
    <w:p>
      <w:pPr>
        <w:spacing w:after="60"/>
        <w:ind w:left="317" w:hanging="317"/>
      </w:pPr>
      <w:r>
        <w:t xml:space="preserve">2. </w:t>
      </w:r>
      <w:r>
        <w:t>If the values are semantically different, each is clearly labeled and both remain available.</w:t>
      </w:r>
    </w:p>
    <w:p>
      <w:pPr>
        <w:spacing w:after="60"/>
        <w:ind w:left="317" w:hanging="317"/>
      </w:pPr>
      <w:r>
        <w:t xml:space="preserve">3. </w:t>
      </w:r>
      <w:r>
        <w:t>Other supported container types render consistently without losing container number, seal or edit controls.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Visual review on 13 September 2026 — driver detail /my-trips/20. Related design intent: 20260912_6.docx calls for a consistent, clear detail presentation; no explicit requirement for this duplicate value was found.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Display container type once in the driver container summary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08 evidence 1" descr="Staging, 13 September 2026, bqhuong: the TSTU4182600 summary shows the unexplained adjacent values 20’DC · 20D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river-detail-collapsed-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Staging, 13 September 2026, bqhuong: the TSTU4182600 summary shows the unexplained adjacent values 20’DC · 20DC.</w:t>
      </w:r>
    </w:p>
    <w:p>
      <w:r>
        <w:t>[2026-09-14] DEV COMPLETED — 'TEST1234560 20'DC' hiển thị MỘT giá trị định dạng; phụ thuộc raw-code (' · 20DC') đã loại ở nguồn; quét DOM đúng 1 lần '20'DC' trong section. Bằng chứng: /Volumes/LexarSSD/projects/silversea-prod/testplan/qa/evidence/2026-09-14_qa008-container-type-once/REPORT.md. Commit 59d5d6e3.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tail-67288-type-once-20d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staging: 'TSTU4182600 20'DC' đúng một lần. Thư mục: testplan/qa/evidence/2026-09-14_staging-*/.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QA-008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container type once in the driver container summary</dc:title>
  <dc:subject>Staging frontend QA task</dc:subject>
  <dc:creator>QA</dc:creator>
  <cp:keywords>QA-008, P3,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