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media/image1.png" ContentType="image/jpeg"/>
  <Override PartName="/word/media/image2.png" ContentType="image/jpeg"/>
  <Override PartName="/word/media/image3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Keep expense payment status consistent with its supplier ledger</w:t>
      </w:r>
    </w:p>
    <w:p>
      <w:pPr>
        <w:pStyle w:val="Subtitle"/>
        <w:keepNext/>
      </w:pPr>
      <w:r>
        <w:t>QA-089 | P1 | Bug | QA PASSED</w:t>
      </w:r>
    </w:p>
    <w:p>
      <w:pPr>
        <w:spacing w:after="60"/>
      </w:pPr>
      <w:r>
        <w:rPr>
          <w:b/>
          <w:sz w:val="20"/>
        </w:rPr>
        <w:t xml:space="preserve">Environment: </w:t>
      </w:r>
      <w:r>
        <w:rPr>
          <w:sz w:val="20"/>
        </w:rPr>
        <w:t>Staging https://vantai.tingting.vip</w:t>
      </w:r>
    </w:p>
    <w:p>
      <w:pPr>
        <w:spacing w:after="60"/>
      </w:pPr>
      <w:r>
        <w:rPr>
          <w:b/>
          <w:sz w:val="20"/>
        </w:rPr>
        <w:t xml:space="preserve">Reviewed: </w:t>
      </w:r>
      <w:r>
        <w:rPr>
          <w:sz w:val="20"/>
        </w:rPr>
        <w:t>14 September 2026</w:t>
      </w:r>
    </w:p>
    <w:p>
      <w:pPr>
        <w:spacing w:after="60"/>
      </w:pPr>
      <w:r>
        <w:rPr>
          <w:b/>
          <w:sz w:val="20"/>
        </w:rPr>
        <w:t xml:space="preserve">Role: </w:t>
      </w:r>
      <w:r>
        <w:rPr>
          <w:sz w:val="20"/>
        </w:rPr>
        <w:t>ADMIN · desktop 1440 × 900; tablet readback 834 × 1112</w:t>
      </w:r>
    </w:p>
    <w:p>
      <w:pPr>
        <w:spacing w:after="60"/>
      </w:pPr>
      <w:r>
        <w:rPr>
          <w:b/>
          <w:sz w:val="20"/>
        </w:rPr>
        <w:t xml:space="preserve">Page: </w:t>
      </w:r>
      <w:r>
        <w:rPr>
          <w:sz w:val="20"/>
        </w:rPr>
        <w:t>/expenses/1/edit → /expenses → /payables/4</w:t>
      </w:r>
    </w:p>
    <w:p>
      <w:pPr>
        <w:pStyle w:val="Heading1"/>
      </w:pPr>
      <w:r>
        <w:t>Existing behaviour</w:t>
      </w:r>
    </w:p>
    <w:p>
      <w:r>
        <w:t>Saving QA-EXP-0914-01 as Trả ngay changes /expenses to Đã trả: 123,000 VND paid, zero unpaid. Editor readback retains Trả ngay and says Đây là phiếu đã quyết toán. Fresh supplier reload still owes 223,000 VND: the prior 100,000 plus this 123,000 expense, with three entries and no settlement offset. Only the UI status changed; no actual bank payment occurred.</w:t>
      </w:r>
    </w:p>
    <w:p>
      <w:pPr>
        <w:pStyle w:val="Heading1"/>
      </w:pPr>
      <w:r>
        <w:t>Target behaviour</w:t>
      </w:r>
    </w:p>
    <w:p>
      <w:r>
        <w:t>Keep payment status linked to the supplier ledger. Show paid/settled only after authorized settlement succeeds. Otherwise, show pending status and explain the required action.</w:t>
      </w:r>
    </w:p>
    <w:p>
      <w:pPr>
        <w:pStyle w:val="Heading1"/>
      </w:pPr>
      <w:r>
        <w:t>Impact</w:t>
      </w:r>
    </w:p>
    <w:p>
      <w:r>
        <w:t>Conflicting payment and debt views risk duplicate payment or missed reconciliation.</w:t>
      </w:r>
    </w:p>
    <w:p>
      <w:pPr>
        <w:pStyle w:val="Heading1"/>
      </w:pPr>
      <w:r>
        <w:t>Cause and investigation</w:t>
      </w:r>
    </w:p>
    <w:p>
      <w:r>
        <w:t>Inspect status transitions and ledger posting; no backend cause is established. Distinct from QA-086’s initial approval failure.</w:t>
      </w:r>
    </w:p>
    <w:p>
      <w:pPr>
        <w:pStyle w:val="Heading1"/>
      </w:pPr>
      <w:r>
        <w:t>Steps to reproduce</w:t>
      </w:r>
    </w:p>
    <w:p>
      <w:pPr>
        <w:spacing w:after="60"/>
        <w:ind w:left="317" w:hanging="317"/>
      </w:pPr>
      <w:r>
        <w:t xml:space="preserve">1. </w:t>
      </w:r>
      <w:r>
        <w:t>Use the 123,000 VND Ghi nợ expense for CÔNG TY CP SBI, receipt QA-EXP-0914-01, or an equivalent fixture.</w:t>
      </w:r>
    </w:p>
    <w:p>
      <w:pPr>
        <w:spacing w:after="60"/>
        <w:ind w:left="317" w:hanging="317"/>
      </w:pPr>
      <w:r>
        <w:t xml:space="preserve">2. </w:t>
      </w:r>
      <w:r>
        <w:t>Edit Trạng thái thanh toán to Trả ngay, enter the required staging reason and click Cập nhật.</w:t>
      </w:r>
    </w:p>
    <w:p>
      <w:pPr>
        <w:spacing w:after="60"/>
        <w:ind w:left="317" w:hanging="317"/>
      </w:pPr>
      <w:r>
        <w:t xml:space="preserve">3. </w:t>
      </w:r>
      <w:r>
        <w:t>Verify the paid expense list/editor, then reload /payables/4 and compare the remaining charge and supplier balance.</w:t>
      </w:r>
    </w:p>
    <w:p>
      <w:pPr>
        <w:pStyle w:val="Heading1"/>
      </w:pPr>
      <w:r>
        <w:t>Acceptance criteria</w:t>
      </w:r>
    </w:p>
    <w:p>
      <w:pPr>
        <w:spacing w:after="60"/>
        <w:ind w:left="317" w:hanging="317"/>
      </w:pPr>
      <w:r>
        <w:t xml:space="preserve">1. </w:t>
      </w:r>
      <w:r>
        <w:t>After authorized settlement and reload, expense status, paid/unpaid totals and supplier debt agree.</w:t>
      </w:r>
    </w:p>
    <w:p>
      <w:pPr>
        <w:spacing w:after="60"/>
        <w:ind w:left="317" w:hanging="317"/>
      </w:pPr>
      <w:r>
        <w:t xml:space="preserve">2. </w:t>
      </w:r>
      <w:r>
        <w:t>Failed or pending settlement never reports paid/settled; show clear recovery.</w:t>
      </w:r>
    </w:p>
    <w:p>
      <w:pPr>
        <w:spacing w:after="60"/>
        <w:ind w:left="317" w:hanging="317"/>
      </w:pPr>
      <w:r>
        <w:t xml:space="preserve">3. </w:t>
      </w:r>
      <w:r>
        <w:t>Retries post once; supported reversals restore consistent status and ledger history.</w:t>
      </w:r>
    </w:p>
    <w:p>
      <w:pPr>
        <w:spacing w:after="60"/>
        <w:ind w:left="317" w:hanging="317"/>
      </w:pPr>
      <w:r>
        <w:t xml:space="preserve">4. </w:t>
      </w:r>
      <w:r>
        <w:t>Preserve unrelated debt, permissions and audit links; verify desktop, tablet and phone readback.</w:t>
      </w:r>
    </w:p>
    <w:p>
      <w:pPr>
        <w:pStyle w:val="Heading1"/>
      </w:pPr>
      <w:r>
        <w:t>Requirement reference</w:t>
      </w:r>
    </w:p>
    <w:p>
      <w:r>
        <w:rPr>
          <w:sz w:val="20"/>
        </w:rPr>
        <w:t>Observed expense status change and fresh supplier-ledger readback.</w:t>
      </w:r>
    </w:p>
    <w:p>
      <w:r>
        <w:br w:type="page"/>
      </w:r>
    </w:p>
    <w:p>
      <w:pPr>
        <w:pStyle w:val="Heading1"/>
        <w:spacing w:before="0"/>
      </w:pPr>
      <w:r>
        <w:t>Evidence 1</w:t>
      </w:r>
    </w:p>
    <w:p>
      <w:pPr>
        <w:pStyle w:val="Subtitle"/>
        <w:keepNext/>
      </w:pPr>
      <w:r>
        <w:t>Keep expense payment status consistent with its supplier ledger</w:t>
      </w:r>
    </w:p>
    <w:p>
      <w:pPr>
        <w:keepNext/>
        <w:spacing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492240" cy="4057649"/>
            <wp:docPr id="1" name="Picture 1" title="QA-089 evidence 1" descr="After the update, the expense list marks the 123,000 VND record Đã trả and shows zero unpaid expense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-expense-paid-update-resul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40576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</w:pPr>
      <w:r>
        <w:t>Figure 1. After the update, the expense list marks the 123,000 VND record Đã trả and shows zero unpaid expenses.</w:t>
      </w:r>
    </w:p>
    <w:p>
      <w:r>
        <w:br w:type="page"/>
      </w:r>
    </w:p>
    <w:p>
      <w:pPr>
        <w:pStyle w:val="Heading1"/>
        <w:spacing w:before="0"/>
      </w:pPr>
      <w:r>
        <w:t>Evidence 2</w:t>
      </w:r>
    </w:p>
    <w:p>
      <w:pPr>
        <w:pStyle w:val="Subtitle"/>
        <w:keepNext/>
      </w:pPr>
      <w:r>
        <w:t>Keep expense payment status consistent with its supplier ledger</w:t>
      </w:r>
    </w:p>
    <w:p>
      <w:pPr>
        <w:keepNext/>
        <w:spacing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972050" cy="6629400"/>
            <wp:docPr id="2" name="Picture 2" title="QA-089 evidence 2" descr="Fresh editor readback retains Trả ngay and describes the record as already settled, with receipt QA-EXP-0914-01 and amount 123,000 VND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-expense-paid-status-persisted-table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72050" cy="6629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</w:pPr>
      <w:r>
        <w:t>Figure 2. Fresh editor readback retains Trả ngay and describes the record as already settled, with receipt QA-EXP-0914-01 and amount 123,000 VND.</w:t>
      </w:r>
    </w:p>
    <w:p>
      <w:r>
        <w:br w:type="page"/>
      </w:r>
    </w:p>
    <w:p>
      <w:pPr>
        <w:pStyle w:val="Heading1"/>
        <w:spacing w:before="0"/>
      </w:pPr>
      <w:r>
        <w:t>Evidence 3</w:t>
      </w:r>
    </w:p>
    <w:p>
      <w:pPr>
        <w:pStyle w:val="Subtitle"/>
        <w:keepNext/>
      </w:pPr>
      <w:r>
        <w:t>Keep expense payment status consistent with its supplier ledger</w:t>
      </w:r>
    </w:p>
    <w:p>
      <w:pPr>
        <w:keepNext/>
        <w:spacing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972050" cy="6629400"/>
            <wp:docPr id="3" name="Picture 3" title="QA-089 evidence 3" descr="Fresh post-update ledger: the 123,000 VND expense remains payable, with a 223,000 VND balance and no settlement offset among the three entrie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-paid-expense-still-charge-ledger-fresh-table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72050" cy="6629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</w:pPr>
      <w:r>
        <w:t>Figure 3. Fresh post-update ledger: the 123,000 VND expense remains payable, with a 223,000 VND balance and no settlement offset among the three entries.</w:t>
      </w:r>
    </w:p>
    <w:p>
      <w:r>
        <w:t>[2026-09-14] DEV COMPLETED — Chặn flip tự do 2 chiều (updateExpense 409 'ghi thanh toán qua Thanh toán NCC'; submitExpense 400 paid-on-create); thanh toán NCC nhận expenseIds (≤200) — settle IN payment transaction: flip PAID + settled_by_payment_id (migration 0079 additive, backup trước apply); bad linkage 409 TRƯỚC khi tiền di chuyển; partial-payment semantics theo ruling (chỉ row được liệt kê flip, remainder unallocated — document ở editor guidance); reversal seam restoreExpensesForPaymentReversal CHỈ UNPAID rows vẫn trỏ payment đó (re-flip guard test). Editor read-only + guidance. financial.service.ts hunks additive (25 dòng, back-compat pin không expenseIds). Unit 7/7. Commit 578e637b. Browser rung (settle-flow 3 width) staging. Cả 3 P1 của wave đã qua local gate.</w:t>
      </w:r>
    </w:p>
    <w:p/>
    <w:p>
      <w:r>
        <w:t>[2026-09-14] QA PASSED — staging (API·DB rung, build 2c41f420)</w:t>
      </w:r>
    </w:p>
    <w:p>
      <w:r>
        <w:t>Fixture riêng (suffix R6145523): NCC 26/27, khoản chi 4 (123.000₫ APPROVED), 5 (77.000₫ APPROVED), 6 (50.000₫ PENDING); dual-control đúng luật (admin nộp, hoapt kiểm, admin duyệt). AC1: POST /api/payments/vendor expenseIds [4] → 201, settledExpenseIds [4], ledgerEntryId 15; readback chi 4 PAID + settledByPaymentId 15, chi 5 UNPAID (partial-payment), sao kê NCC: 200.000 → 77.000 sau debit 123.000. AC2: flip trực tiếp 409 ('ghi thanh toán qua màn Thanh toán NCC'), link chi PENDING 409, link sai NCC 409 — psql xác nhận 0 dòng ledger cho các phiếu bị từ chối (tiền không di chuyển). AC3: replay cùng Idempotency-Key → 200 replayed, vẫn 1 dòng VENDOR_PAYMENT, số dư 77.000. AC4: fixture cách ly, quyền ACCOUNTANT chạy đúng, audit chain đầy đủ trong governance action.</w:t>
      </w:r>
    </w:p>
    <w:p>
      <w:r>
        <w:t>Not covered (đã ghi rõ trong REPORT): ngược thanh toán NCC chưa có route HTTP trên build này — seam restoreExpensesForPaymentReversal đã có unit test (commit 578e637b), chờ surface thì bổ sung rung API. Readback desktop/tablet/phone thuộc rung browser (lane 88).</w:t>
      </w:r>
    </w:p>
    <w:p>
      <w:r>
        <w:t>Bằng chứng: testplan/qa/evidence/2026-09-14_staging-round6-api-52/qa-089/ (REPORT.md + transcript.log + psqlq.sh transcripts).</w:t>
      </w:r>
    </w:p>
    <w:p>
      <w:r>
        <w:t>Trạng thái: QA PASSED — đã xác minh trên staging (API·DB rung, build 2c41f420)</w:t>
      </w:r>
    </w:p>
    <w:sectPr w:rsidR="00FC693F" w:rsidRPr="0006063C" w:rsidSect="00034616">
      <w:footerReference w:type="default" r:id="rId9"/>
      <w:pgSz w:w="12240" w:h="15840"/>
      <w:pgMar w:top="1008" w:right="1008" w:bottom="1008" w:left="1008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right"/>
    </w:pPr>
    <w:r>
      <w:rPr>
        <w:color w:val="464646"/>
        <w:sz w:val="18"/>
      </w:rPr>
      <w:t xml:space="preserve">QA-089 | Page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autoHyphenation w:val="0"/>
  <w:themeFontLang w:val="en-US" w:eastAsia="vi-V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80" w:line="259" w:lineRule="auto"/>
    </w:pPr>
    <w:rPr>
      <w:rFonts w:ascii="Arial" w:hAnsi="Arial" w:eastAsia="Arial" w:cs="Arial"/>
      <w:b w:val="0"/>
      <w:color w:val="000000"/>
      <w:sz w:val="22"/>
      <w:u w:val="none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200" w:after="80" w:line="259" w:lineRule="auto"/>
      <w:outlineLvl w:val="0"/>
    </w:pPr>
    <w:rPr>
      <w:rFonts w:asciiTheme="majorHAnsi" w:eastAsiaTheme="majorEastAsia" w:hAnsiTheme="majorHAnsi" w:cstheme="majorBidi" w:ascii="Arial" w:hAnsi="Arial" w:eastAsia="Arial" w:cs="Arial"/>
      <w:b/>
      <w:bCs/>
      <w:color w:val="000000"/>
      <w:sz w:val="24"/>
      <w:szCs w:val="28"/>
      <w:u w:val="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160" w:after="60" w:line="259" w:lineRule="auto"/>
      <w:outlineLvl w:val="1"/>
    </w:pPr>
    <w:rPr>
      <w:rFonts w:asciiTheme="majorHAnsi" w:eastAsiaTheme="majorEastAsia" w:hAnsiTheme="majorHAnsi" w:cstheme="majorBidi" w:ascii="Arial" w:hAnsi="Arial" w:eastAsia="Arial" w:cs="Arial"/>
      <w:b/>
      <w:bCs/>
      <w:color w:val="000000"/>
      <w:sz w:val="22"/>
      <w:szCs w:val="26"/>
      <w:u w:val="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spacing w:after="160" w:line="259" w:lineRule="auto" w:before="0"/>
      <w:contextualSpacing/>
    </w:pPr>
    <w:rPr>
      <w:rFonts w:asciiTheme="majorHAnsi" w:eastAsiaTheme="majorEastAsia" w:hAnsiTheme="majorHAnsi" w:cstheme="majorBidi" w:ascii="Arial" w:hAnsi="Arial" w:eastAsia="Arial" w:cs="Arial"/>
      <w:b/>
      <w:color w:val="000000"/>
      <w:spacing w:val="5"/>
      <w:kern w:val="28"/>
      <w:sz w:val="38"/>
      <w:szCs w:val="52"/>
      <w:u w:val="none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widowControl/>
      <w:numPr>
        <w:ilvl w:val="1"/>
      </w:numPr>
      <w:spacing w:before="0" w:after="120" w:line="259" w:lineRule="auto"/>
    </w:pPr>
    <w:rPr>
      <w:rFonts w:asciiTheme="majorHAnsi" w:eastAsiaTheme="majorEastAsia" w:hAnsiTheme="majorHAnsi" w:cstheme="majorBidi" w:ascii="Arial" w:hAnsi="Arial" w:eastAsia="Arial" w:cs="Arial"/>
      <w:b w:val="0"/>
      <w:i/>
      <w:iCs/>
      <w:color w:val="000000"/>
      <w:spacing w:val="15"/>
      <w:sz w:val="20"/>
      <w:szCs w:val="24"/>
      <w:u w:val="none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widowControl/>
      <w:numPr>
        <w:numId w:val="1"/>
      </w:numPr>
      <w:spacing w:before="0" w:after="60" w:line="259" w:lineRule="auto"/>
      <w:contextualSpacing/>
    </w:pPr>
    <w:rPr>
      <w:rFonts w:ascii="Arial" w:hAnsi="Arial" w:eastAsia="Arial" w:cs="Arial"/>
      <w:b w:val="0"/>
      <w:color w:val="000000"/>
      <w:sz w:val="22"/>
      <w:u w:val="none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widowControl/>
      <w:numPr>
        <w:numId w:val="5"/>
      </w:numPr>
      <w:spacing w:before="0" w:after="60" w:line="259" w:lineRule="auto"/>
      <w:contextualSpacing/>
    </w:pPr>
    <w:rPr>
      <w:rFonts w:ascii="Arial" w:hAnsi="Arial" w:eastAsia="Arial" w:cs="Arial"/>
      <w:b w:val="0"/>
      <w:color w:val="000000"/>
      <w:sz w:val="22"/>
      <w:u w:val="none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widowControl/>
      <w:spacing w:line="259" w:lineRule="auto" w:before="100" w:after="0"/>
    </w:pPr>
    <w:rPr>
      <w:rFonts w:ascii="Arial" w:hAnsi="Arial" w:eastAsia="Arial" w:cs="Arial"/>
      <w:b w:val="0"/>
      <w:bCs/>
      <w:i w:val="0"/>
      <w:color w:val="464646"/>
      <w:sz w:val="21"/>
      <w:szCs w:val="18"/>
      <w:u w:val="none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Keep expense payment status consistent with its supplier ledger</dc:title>
  <dc:subject>Staging frontend QA task</dc:subject>
  <dc:creator>QA</dc:creator>
  <cp:keywords>QA-089, P1, bug, staging, TODO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