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Replace profit allocation approval with direct authorized finalization</w:t>
      </w:r>
    </w:p>
    <w:p>
      <w:pPr>
        <w:pStyle w:val="Subtitle"/>
        <w:keepNext/>
      </w:pPr>
      <w:r>
        <w:t>QA-118 | P2 | Requirement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other roles with authorized profit-allocation access.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/profit · Quyết toán &amp; Chốt Quý</w:t>
      </w:r>
    </w:p>
    <w:p>
      <w:pPr>
        <w:pStyle w:val="Heading1"/>
      </w:pPr>
      <w:r>
        <w:t>Existing behaviour</w:t>
      </w:r>
    </w:p>
    <w:p>
      <w:r>
        <w:t>Quyết toán &amp; Chốt Quý shows Xem trước and Gửi duyệt phân bổ, so official allocation still uses approval submission. The current preview also flags missing vehicle ownership; this is a separate data prerequisite.</w:t>
      </w:r>
    </w:p>
    <w:p>
      <w:pPr>
        <w:pStyle w:val="Heading1"/>
      </w:pPr>
      <w:r>
        <w:t>Target behaviour</w:t>
      </w:r>
    </w:p>
    <w:p>
      <w:r>
        <w:t>Let an authorized user preview and finalize a valid allocation directly. Remove approval submission and waiting states while retaining ownership, period and arithmetic validation.</w:t>
      </w:r>
    </w:p>
    <w:p>
      <w:pPr>
        <w:pStyle w:val="Heading1"/>
      </w:pPr>
      <w:r>
        <w:t>Impact</w:t>
      </w:r>
    </w:p>
    <w:p>
      <w:r>
        <w:t>The final action introduces an internal review handoff outside the agreed product scope.</w:t>
      </w:r>
    </w:p>
    <w:p>
      <w:pPr>
        <w:pStyle w:val="Heading1"/>
      </w:pPr>
      <w:r>
        <w:t>Cause and investigation</w:t>
      </w:r>
    </w:p>
    <w:p>
      <w:r>
        <w:t>The displayed action still reflects approval. Update its server transition and dependent statuses together; renaming the button is insufficient.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/profit and scroll to Quyết toán &amp; Chốt Quý.</w:t>
      </w:r>
    </w:p>
    <w:p>
      <w:pPr>
        <w:spacing w:after="60"/>
        <w:ind w:left="317" w:hanging="317"/>
      </w:pPr>
      <w:r>
        <w:t xml:space="preserve">2. </w:t>
      </w:r>
      <w:r>
        <w:t>Inspect the quarter, year, preview and Gửi duyệt phân bổ. No request was submitted during this check.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Provide direct authorized finalization with preview, saving feedback and a persisted result; no reviewer or approver.</w:t>
      </w:r>
    </w:p>
    <w:p>
      <w:pPr>
        <w:spacing w:after="60"/>
        <w:ind w:left="317" w:hanging="317"/>
      </w:pPr>
      <w:r>
        <w:t xml:space="preserve">2. </w:t>
      </w:r>
      <w:r>
        <w:t>Remove approval-only queues, reasons and waiting/rejected states. Give existing pending records a logged migration path.</w:t>
      </w:r>
    </w:p>
    <w:p>
      <w:pPr>
        <w:spacing w:after="60"/>
        <w:ind w:left="317" w:hanging="317"/>
      </w:pPr>
      <w:r>
        <w:t xml:space="preserve">3. </w:t>
      </w:r>
      <w:r>
        <w:t>Retain ownership percentages, period consistency, arithmetic and duplicate-finalization protection. Missing data remains actionable.</w:t>
      </w:r>
    </w:p>
    <w:p>
      <w:pPr>
        <w:spacing w:after="60"/>
        <w:ind w:left="317" w:hanging="317"/>
      </w:pPr>
      <w:r>
        <w:t xml:space="preserve">4. </w:t>
      </w:r>
      <w:r>
        <w:t>Preserve audit history and role access. Recording allocation must not claim an actual payment or transfer occurred.</w:t>
      </w:r>
    </w:p>
    <w:p>
      <w:pPr>
        <w:spacing w:after="60"/>
        <w:ind w:left="317" w:hanging="317"/>
      </w:pPr>
      <w:r>
        <w:t xml:space="preserve">5. </w:t>
      </w:r>
      <w:r>
        <w:t>Rename Báo cáo &amp; Phê duyệt to an accurate approval-free group label, retaining both report links.</w:t>
      </w:r>
    </w:p>
    <w:p>
      <w:pPr>
        <w:spacing w:after="60"/>
        <w:ind w:left="317" w:hanging="317"/>
      </w:pPr>
      <w:r>
        <w:t xml:space="preserve">6. </w:t>
      </w:r>
      <w:r>
        <w:t>Keep period, preview and finalization together across phone, tablet and desktop. Verify readback, duplicate attempts and validation failures.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User decision, 14 September 2026: no approval workflows; live Admin profit screen.</w:t>
      </w:r>
    </w:p>
    <w:p>
      <w:pPr>
        <w:pStyle w:val="Heading1"/>
        <w:pageBreakBefore/>
        <w:spacing w:before="0"/>
      </w:pPr>
      <w:r>
        <w:t>Evidence 1</w:t>
      </w:r>
    </w:p>
    <w:p>
      <w:pPr>
        <w:pStyle w:val="Subtitle"/>
        <w:keepNext/>
      </w:pPr>
      <w:r>
        <w:t>Replace profit allocation approval with direct authorized finalization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18 evidence 1" descr="Live quarterly panel: Gửi duyệt phân bổ remains beside Xem trước. The ownership warning is a separate validation prerequis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fit-allocation-approval-confirm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Live quarterly panel: Gửi duyệt phân bổ remains beside Xem trước. The ownership warning is a separate validation prerequisite.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QA-118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Replace profit allocation approval with direct authorized finalization</dc:title>
  <dc:subject>Staging frontend QA task</dc:subject>
  <dc:creator>QA</dc:creator>
  <cp:keywords>QA-118, P2, requirement,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