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media/image1.png" ContentType="image/jpeg"/>
  <Override PartName="/word/media/image2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Align and compact the expense entry form</w:t>
      </w:r>
    </w:p>
    <w:p>
      <w:pPr>
        <w:pStyle w:val="Subtitle"/>
        <w:keepNext/>
      </w:pPr>
      <w:r>
        <w:t>QA-088 | P3 | Enhancement | TODO</w:t>
      </w:r>
    </w:p>
    <w:p>
      <w:pPr>
        <w:spacing w:after="60"/>
      </w:pPr>
      <w:r>
        <w:rPr>
          <w:b/>
          <w:sz w:val="20"/>
        </w:rPr>
        <w:t xml:space="preserve">Environment: </w:t>
      </w:r>
      <w:r>
        <w:rPr>
          <w:sz w:val="20"/>
        </w:rPr>
        <w:t>Staging https://vantai.tingting.vip</w:t>
      </w:r>
    </w:p>
    <w:p>
      <w:pPr>
        <w:spacing w:after="60"/>
      </w:pPr>
      <w:r>
        <w:rPr>
          <w:b/>
          <w:sz w:val="20"/>
        </w:rPr>
        <w:t xml:space="preserve">Reviewed: </w:t>
      </w:r>
      <w:r>
        <w:rPr>
          <w:sz w:val="20"/>
        </w:rPr>
        <w:t>14 September 2026</w:t>
      </w:r>
    </w:p>
    <w:p>
      <w:pPr>
        <w:spacing w:after="60"/>
      </w:pPr>
      <w:r>
        <w:rPr>
          <w:b/>
          <w:sz w:val="20"/>
        </w:rPr>
        <w:t xml:space="preserve">Role: </w:t>
      </w:r>
      <w:r>
        <w:rPr>
          <w:sz w:val="20"/>
        </w:rPr>
        <w:t>Admin; desktop 1440×900. Lower form also inspected at tablet 834×1112 and phone 390×844.</w:t>
      </w:r>
    </w:p>
    <w:p>
      <w:pPr>
        <w:spacing w:after="60"/>
      </w:pPr>
      <w:r>
        <w:rPr>
          <w:b/>
          <w:sz w:val="20"/>
        </w:rPr>
        <w:t xml:space="preserve">Page: </w:t>
      </w:r>
      <w:r>
        <w:rPr>
          <w:sz w:val="20"/>
        </w:rPr>
        <w:t>https://vantai.tingting.vip/expenses/new; https://vantai.tingting.vip/expenses/1/edit</w:t>
      </w:r>
    </w:p>
    <w:p>
      <w:pPr>
        <w:pStyle w:val="Heading1"/>
      </w:pPr>
      <w:r>
        <w:t>Existing behaviour</w:t>
      </w:r>
    </w:p>
    <w:p>
      <w:r>
        <w:t>Desktop payment/supplier and category/cost-type controls have staggered baselines. Hiệu lực từ and Hiệu lực đến sit diagonally across rows. The invoice/actions column leaves substantial empty space while the required reason continues below the viewport. Smaller captures cover only the lower form; its full top layout was not reviewed at those widths.</w:t>
      </w:r>
    </w:p>
    <w:p>
      <w:pPr>
        <w:pStyle w:val="Heading1"/>
      </w:pPr>
      <w:r>
        <w:t>Target behaviour</w:t>
      </w:r>
    </w:p>
    <w:p>
      <w:r>
        <w:t>Use a compact, aligned grid with adjacent effective dates, concise read-only metadata and a proportionate receipt/action area. Reduce avoidable scrolling while preserving readable labels and touch access.</w:t>
      </w:r>
    </w:p>
    <w:p>
      <w:pPr>
        <w:pStyle w:val="Heading1"/>
      </w:pPr>
      <w:r>
        <w:t>Impact</w:t>
      </w:r>
    </w:p>
    <w:p>
      <w:r>
        <w:t>Related fields take more effort to scan when rows and date pairs do not align.</w:t>
      </w:r>
    </w:p>
    <w:p>
      <w:pPr>
        <w:pStyle w:val="Heading1"/>
      </w:pPr>
      <w:r>
        <w:t>Cause and investigation</w:t>
      </w:r>
    </w:p>
    <w:p>
      <w:r>
        <w:t>Hypothesis: differing label/action heights and sidebar sizing cause the staggered rows and unused space. Source code was not inspected.</w:t>
      </w:r>
    </w:p>
    <w:p>
      <w:pPr>
        <w:pStyle w:val="Heading1"/>
      </w:pPr>
      <w:r>
        <w:t>Steps to reproduce</w:t>
      </w:r>
    </w:p>
    <w:p>
      <w:pPr>
        <w:spacing w:after="60"/>
        <w:ind w:left="317" w:hanging="317"/>
      </w:pPr>
      <w:r>
        <w:t xml:space="preserve">1. </w:t>
      </w:r>
      <w:r>
        <w:t>As Admin, open the recurring expense form or /expenses/1/edit for QA-EXP-0914-01 at 1440×900.</w:t>
      </w:r>
    </w:p>
    <w:p>
      <w:pPr>
        <w:spacing w:after="60"/>
        <w:ind w:left="317" w:hanging="317"/>
      </w:pPr>
      <w:r>
        <w:t xml:space="preserve">2. </w:t>
      </w:r>
      <w:r>
        <w:t>Compare payment/supplier and category/cost-type rows, then locate both effective dates.</w:t>
      </w:r>
    </w:p>
    <w:p>
      <w:pPr>
        <w:spacing w:after="60"/>
        <w:ind w:left="317" w:hanging="317"/>
      </w:pPr>
      <w:r>
        <w:t xml:space="preserve">3. </w:t>
      </w:r>
      <w:r>
        <w:t>Scroll to the required reason and compare the long left form with the largely empty lower-right column.</w:t>
      </w:r>
    </w:p>
    <w:p>
      <w:pPr>
        <w:pStyle w:val="Heading1"/>
      </w:pPr>
      <w:r>
        <w:t>Acceptance criteria</w:t>
      </w:r>
    </w:p>
    <w:p>
      <w:pPr>
        <w:spacing w:after="60"/>
        <w:ind w:left="317" w:hanging="317"/>
      </w:pPr>
      <w:r>
        <w:t xml:space="preserve">1. </w:t>
      </w:r>
      <w:r>
        <w:t>Align labels, inline Thêm mới actions and controls on consistent row baselines. Keep both effective dates together in reading and keyboard order.</w:t>
      </w:r>
    </w:p>
    <w:p>
      <w:pPr>
        <w:spacing w:after="60"/>
        <w:ind w:left="317" w:hanging="317"/>
      </w:pPr>
      <w:r>
        <w:t xml:space="preserve">2. </w:t>
      </w:r>
      <w:r>
        <w:t>Present the automatic entry date as compact read-only metadata; size receipt and action areas to their content without removing upload, cancel or submission controls.</w:t>
      </w:r>
    </w:p>
    <w:p>
      <w:pPr>
        <w:spacing w:after="60"/>
        <w:ind w:left="317" w:hanging="317"/>
      </w:pPr>
      <w:r>
        <w:t xml:space="preserve">3. </w:t>
      </w:r>
      <w:r>
        <w:t>At desktop/tablet/phone widths, retain logical field order, readable long values and visible validation. Avoid horizontal overflow and oversized headings or fields; provide at least 44px phone touch hit areas.</w:t>
      </w:r>
    </w:p>
    <w:p>
      <w:pPr>
        <w:spacing w:after="60"/>
        <w:ind w:left="317" w:hanging="317"/>
      </w:pPr>
      <w:r>
        <w:t xml:space="preserve">4. </w:t>
      </w:r>
      <w:r>
        <w:t>Check recurring and non-recurring forms, empty/populated receipts and validation states. Preserve values, permissions and submission semantics; approval posting and broken receipts remain QA-086/087.</w:t>
      </w:r>
    </w:p>
    <w:p>
      <w:pPr>
        <w:pStyle w:val="Heading1"/>
      </w:pPr>
      <w:r>
        <w:t>Requirement reference</w:t>
      </w:r>
    </w:p>
    <w:p>
      <w:r>
        <w:rPr>
          <w:sz w:val="20"/>
        </w:rPr>
        <w:t>Staging screenshots, 14 September 2026; user requirement for compact, data-heavy UI.</w:t>
      </w:r>
    </w:p>
    <w:p>
      <w:r>
        <w:br w:type="page"/>
      </w:r>
    </w:p>
    <w:p>
      <w:pPr>
        <w:pStyle w:val="Heading1"/>
        <w:spacing w:before="0"/>
      </w:pPr>
      <w:r>
        <w:t>Evidence 1</w:t>
      </w:r>
    </w:p>
    <w:p>
      <w:pPr>
        <w:pStyle w:val="Subtitle"/>
        <w:keepNext/>
      </w:pPr>
      <w:r>
        <w:t>Align and compact the expense entry form</w:t>
      </w:r>
    </w:p>
    <w:p>
      <w:pPr>
        <w:keepNext/>
        <w:spacing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492240" cy="4057649"/>
            <wp:docPr id="1" name="Picture 1" title="QA-088 evidence 1" descr="Desktop edit form: payment/supplier and category/cost-type controls are staggered; effective dates occupy different rows. Receipt/actions use a separate wide column while the required reason continues below the viewpor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-recurring-expense-immediate-editable-recor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0576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t>Figure 1. Desktop edit form: payment/supplier and category/cost-type controls are staggered; effective dates occupy different rows. Receipt/actions use a separate wide column while the required reason continues below the viewport.</w:t>
      </w:r>
    </w:p>
    <w:p>
      <w:r>
        <w:br w:type="page"/>
      </w:r>
    </w:p>
    <w:p>
      <w:pPr>
        <w:pStyle w:val="Heading1"/>
        <w:spacing w:before="0"/>
      </w:pPr>
      <w:r>
        <w:t>Evidence 2</w:t>
      </w:r>
    </w:p>
    <w:p>
      <w:pPr>
        <w:pStyle w:val="Subtitle"/>
        <w:keepNext/>
      </w:pPr>
      <w:r>
        <w:t>Align and compact the expense entry form</w:t>
      </w:r>
    </w:p>
    <w:p>
      <w:pPr>
        <w:keepNext/>
        <w:spacing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492240" cy="4057649"/>
            <wp:docPr id="2" name="Picture 2" title="QA-088 evidence 2" descr="Desktop creation form scrolled to its lower fields: the reason and policy text occupy the left column beside substantial unused space under the right-side actions. Scrolled content under the fixed header is not itself reported as a defec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-recurring-expense-before-submi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0576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t>Figure 2. Desktop creation form scrolled to its lower fields: the reason and policy text occupy the left column beside substantial unused space under the right-side actions. Scrolled content under the fixed header is not itself reported as a defect.</w:t>
      </w:r>
    </w:p>
    <w:sectPr w:rsidR="00FC693F" w:rsidRPr="0006063C" w:rsidSect="00034616">
      <w:footerReference w:type="default" r:id="rId9"/>
      <w:pgSz w:w="12240" w:h="15840"/>
      <w:pgMar w:top="1008" w:right="1008" w:bottom="1008" w:left="1008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color w:val="464646"/>
        <w:sz w:val="18"/>
      </w:rPr>
      <w:t xml:space="preserve">QA-088 | 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autoHyphenation w:val="0"/>
  <w:themeFontLang w:val="en-US" w:eastAsia="vi-V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80" w:line="259" w:lineRule="auto"/>
    </w:pPr>
    <w:rPr>
      <w:rFonts w:ascii="Arial" w:hAnsi="Arial" w:eastAsia="Arial" w:cs="Arial"/>
      <w:b w:val="0"/>
      <w:color w:val="000000"/>
      <w:sz w:val="22"/>
      <w:u w:val="none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00" w:after="80" w:line="259" w:lineRule="auto"/>
      <w:outlineLvl w:val="0"/>
    </w:pPr>
    <w:rPr>
      <w:rFonts w:asciiTheme="majorHAnsi" w:eastAsiaTheme="majorEastAsia" w:hAnsiTheme="majorHAnsi" w:cstheme="majorBidi" w:ascii="Arial" w:hAnsi="Arial" w:eastAsia="Arial" w:cs="Arial"/>
      <w:b/>
      <w:bCs/>
      <w:color w:val="000000"/>
      <w:sz w:val="24"/>
      <w:szCs w:val="28"/>
      <w:u w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160" w:after="60" w:line="259" w:lineRule="auto"/>
      <w:outlineLvl w:val="1"/>
    </w:pPr>
    <w:rPr>
      <w:rFonts w:asciiTheme="majorHAnsi" w:eastAsiaTheme="majorEastAsia" w:hAnsiTheme="majorHAnsi" w:cstheme="majorBidi" w:ascii="Arial" w:hAnsi="Arial" w:eastAsia="Arial" w:cs="Arial"/>
      <w:b/>
      <w:bCs/>
      <w:color w:val="000000"/>
      <w:sz w:val="22"/>
      <w:szCs w:val="26"/>
      <w:u w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160" w:line="259" w:lineRule="auto" w:before="0"/>
      <w:contextualSpacing/>
    </w:pPr>
    <w:rPr>
      <w:rFonts w:asciiTheme="majorHAnsi" w:eastAsiaTheme="majorEastAsia" w:hAnsiTheme="majorHAnsi" w:cstheme="majorBidi" w:ascii="Arial" w:hAnsi="Arial" w:eastAsia="Arial" w:cs="Arial"/>
      <w:b/>
      <w:color w:val="000000"/>
      <w:spacing w:val="5"/>
      <w:kern w:val="28"/>
      <w:sz w:val="38"/>
      <w:szCs w:val="52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  <w:spacing w:before="0" w:after="120" w:line="259" w:lineRule="auto"/>
    </w:pPr>
    <w:rPr>
      <w:rFonts w:asciiTheme="majorHAnsi" w:eastAsiaTheme="majorEastAsia" w:hAnsiTheme="majorHAnsi" w:cstheme="majorBidi" w:ascii="Arial" w:hAnsi="Arial" w:eastAsia="Arial" w:cs="Arial"/>
      <w:b w:val="0"/>
      <w:i/>
      <w:iCs/>
      <w:color w:val="464646"/>
      <w:spacing w:val="15"/>
      <w:sz w:val="20"/>
      <w:szCs w:val="24"/>
      <w:u w:val="none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spacing w:before="0" w:after="60" w:line="259" w:lineRule="auto"/>
      <w:contextualSpacing/>
    </w:pPr>
    <w:rPr>
      <w:rFonts w:ascii="Arial" w:hAnsi="Arial" w:eastAsia="Arial" w:cs="Arial"/>
      <w:b w:val="0"/>
      <w:color w:val="000000"/>
      <w:sz w:val="22"/>
      <w:u w:val="none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widowControl/>
      <w:numPr>
        <w:numId w:val="5"/>
      </w:numPr>
      <w:spacing w:before="0" w:after="60" w:line="259" w:lineRule="auto"/>
      <w:contextualSpacing/>
    </w:pPr>
    <w:rPr>
      <w:rFonts w:ascii="Arial" w:hAnsi="Arial" w:eastAsia="Arial" w:cs="Arial"/>
      <w:b w:val="0"/>
      <w:color w:val="000000"/>
      <w:sz w:val="22"/>
      <w:u w:val="none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widowControl/>
      <w:spacing w:line="259" w:lineRule="auto" w:before="100" w:after="0"/>
    </w:pPr>
    <w:rPr>
      <w:rFonts w:ascii="Arial" w:hAnsi="Arial" w:eastAsia="Arial" w:cs="Arial"/>
      <w:b w:val="0"/>
      <w:bCs/>
      <w:i w:val="0"/>
      <w:color w:val="464646"/>
      <w:sz w:val="21"/>
      <w:szCs w:val="18"/>
      <w:u w:val="none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Align and compact the expense entry form</dc:title>
  <dc:subject>Staging frontend QA task</dc:subject>
  <dc:creator>QA</dc:creator>
  <cp:keywords>QA-088, P3, enhancement, staging, TODO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