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Prioritize supplier debt lookup on the payables page</w:t>
      </w:r>
    </w:p>
    <w:p>
      <w:pPr>
        <w:pStyle w:val="Subtitle"/>
        <w:keepNext/>
      </w:pPr>
      <w:r>
        <w:t>QA-095 | P3 | Enhancement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Manager — 1440 × 900 desktop and 834 × 1112 tablet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https://vantai.tingting.vip/payables</w:t>
      </w:r>
    </w:p>
    <w:p>
      <w:pPr>
        <w:pStyle w:val="Heading1"/>
      </w:pPr>
      <w:r>
        <w:t>Existing behaviour</w:t>
      </w:r>
    </w:p>
    <w:p>
      <w:r>
        <w:t>The empty Hóa đơn nhiên liệu nhiều xe workspace precedes the supplier debt summary and queue. It occupies about 520 pixels on desktop and 489 on tablet, with four zero-value tiles, search and filters. Desktop repeats the empty message inside and below its table. The 1,496,000 VND balance for four suppliers appears beneath this workspace; no supplier record is visible in either initial viewport.</w:t>
      </w:r>
    </w:p>
    <w:p>
      <w:pPr>
        <w:pStyle w:val="Heading1"/>
      </w:pPr>
      <w:r>
        <w:t>Target behaviour</w:t>
      </w:r>
    </w:p>
    <w:p>
      <w:r>
        <w:t>Make supplier balances, search and the payable queue the primary entry view. Present fuel-invoice capture and lookup as a compact secondary section or clearly accessible tab.</w:t>
      </w:r>
    </w:p>
    <w:p>
      <w:pPr>
        <w:pStyle w:val="Heading1"/>
      </w:pPr>
      <w:r>
        <w:t>Impact</w:t>
      </w:r>
    </w:p>
    <w:p>
      <w:r>
        <w:t>Users scroll past an empty secondary workspace before finding suppliers and outstanding balances.</w:t>
      </w:r>
    </w:p>
    <w:p>
      <w:pPr>
        <w:pStyle w:val="Heading1"/>
      </w:pPr>
      <w:r>
        <w:t>Cause and investigation</w:t>
      </w:r>
    </w:p>
    <w:p>
      <w:r>
        <w:t>Hypothesis: the invoice workspace is always expanded ahead of the main debt workflow. Source implementation is unverified.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Open Công nợ phải trả as Manager for September 2026 at 1440 × 900.</w:t>
      </w:r>
    </w:p>
    <w:p>
      <w:pPr>
        <w:spacing w:after="60"/>
        <w:ind w:left="317" w:hanging="317"/>
      </w:pPr>
      <w:r>
        <w:t xml:space="preserve">2. </w:t>
      </w:r>
      <w:r>
        <w:t>Observe the empty fuel-invoice workspace above the four-supplier debt summary; scroll to reach supplier records.</w:t>
      </w:r>
    </w:p>
    <w:p>
      <w:pPr>
        <w:spacing w:after="60"/>
        <w:ind w:left="317" w:hanging="317"/>
      </w:pPr>
      <w:r>
        <w:t xml:space="preserve">3. </w:t>
      </w:r>
      <w:r>
        <w:t>Repeat at 834 × 1112; the same workspace precedes the debt queue.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At desktop, tablet and phone widths, the initial view prioritizes debt totals, supplier search and available supplier records.</w:t>
      </w:r>
    </w:p>
    <w:p>
      <w:pPr>
        <w:spacing w:after="60"/>
        <w:ind w:left="317" w:hanging="317"/>
      </w:pPr>
      <w:r>
        <w:t xml:space="preserve">2. </w:t>
      </w:r>
      <w:r>
        <w:t>Keep invoice capture and lookup easy to open, with concise invoice counts when useful. Do not preserve or introduce internal approval queues or gates.</w:t>
      </w:r>
    </w:p>
    <w:p>
      <w:pPr>
        <w:spacing w:after="60"/>
        <w:ind w:left="317" w:hanging="317"/>
      </w:pPr>
      <w:r>
        <w:t xml:space="preserve">3. </w:t>
      </w:r>
      <w:r>
        <w:t>Use one concise empty message. Reduce repeated tiles, nested containers and excess spacing without enlarging components or shrinking readable text.</w:t>
      </w:r>
    </w:p>
    <w:p>
      <w:pPr>
        <w:spacing w:after="60"/>
        <w:ind w:left="317" w:hanging="317"/>
      </w:pPr>
      <w:r>
        <w:t xml:space="preserve">4. </w:t>
      </w:r>
      <w:r>
        <w:t>Preserve supplier filters, relevant invoice search, balances, aging categories, ordinary role access and navigation to invoice and supplier detail views.</w:t>
      </w:r>
    </w:p>
    <w:p>
      <w:pPr>
        <w:spacing w:after="60"/>
        <w:ind w:left="317" w:hanging="317"/>
      </w:pPr>
      <w:r>
        <w:t xml:space="preserve">5. </w:t>
      </w:r>
      <w:r>
        <w:t>Verify empty and populated invoice states with a populated supplier queue; preserve keyboard navigation, visible focus and adequate phone touch targets.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Current staging Chrome evidence; user request for compact data-heavy UI.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Prioritize supplier debt lookup on the payables page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95 evidence 1" descr="Desktop at 1440 × 900: the empty fuel-invoice workspace spans approximately y126–646. The supplier debt summary appears beneath it; supplier records are below the viewpo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-payables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Desktop at 1440 × 900: the empty fuel-invoice workspace spans approximately y126–646. The supplier debt summary appears beneath it; supplier records are below the viewport.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Prioritize supplier debt lookup on the payables page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2050" cy="6629400"/>
            <wp:docPr id="2" name="Picture 2" title="QA-095 evidence 2" descr="Tablet at 834 × 1112: zero-value invoice tiles and filters precede the debt summary and aging cards. Supplier tabs begin near the bottom; no supplier record is initially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-payables-tabl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Tablet at 834 × 1112: zero-value invoice tiles and filters precede the debt summary and aging cards. Supplier tabs begin near the bottom; no supplier record is initially visible.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QA-095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Prioritize supplier debt lookup on the payables page</dc:title>
  <dc:subject>Staging frontend QA task</dc:subject>
  <dc:creator>QA</dc:creator>
  <cp:keywords>QA-095, P3, enhancement,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