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Prioritize account ledgers with compact debt summaries</w:t>
      </w:r>
    </w:p>
    <w:p>
      <w:pPr>
        <w:pStyle w:val="Subtitle"/>
        <w:keepNext/>
      </w:pPr>
      <w:r>
        <w:t>QA-102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 — desktop 1440 × 900, tablet 834 × 1112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https://vantai.tingting.vip/debt/1 and https://vantai.tingting.vip/payables/2</w:t>
      </w:r>
    </w:p>
    <w:p>
      <w:pPr>
        <w:pStyle w:val="Heading1"/>
      </w:pPr>
      <w:r>
        <w:t>Existing behaviour</w:t>
      </w:r>
    </w:p>
    <w:p>
      <w:r>
        <w:t>Receivable details stack four summary cards above a second expanded aging panel. On phone, the four cards occupy about 414 pixels; aging begins near the bottom of the first screen. On tablet, repeated balances, a bar and four aging tiles put record navigation near pixel 938. Payable details likewise place a large aging panel and layered period controls ahead of transactions. Three empty aging buckets receive substantial space in both observed accounts.</w:t>
      </w:r>
    </w:p>
    <w:p>
      <w:pPr>
        <w:pStyle w:val="Heading1"/>
      </w:pPr>
      <w:r>
        <w:t>Target behaviour</w:t>
      </w:r>
    </w:p>
    <w:p>
      <w:r>
        <w:t>Prioritize the account ledger beneath a compact identity, balance and risk summary. Present aging in a concise strip or disclosure while keeping every bucket, amount and drilldown available.</w:t>
      </w:r>
    </w:p>
    <w:p>
      <w:pPr>
        <w:pStyle w:val="Heading1"/>
      </w:pPr>
      <w:r>
        <w:t>Impact</w:t>
      </w:r>
    </w:p>
    <w:p>
      <w:r>
        <w:t>Users scroll through repeated account summaries before reaching routine ledger review and filtering.</w:t>
      </w:r>
    </w:p>
    <w:p>
      <w:pPr>
        <w:pStyle w:val="Heading1"/>
      </w:pPr>
      <w:r>
        <w:t>Cause and investigation</w:t>
      </w:r>
    </w:p>
    <w:p>
      <w:r>
        <w:t>Hypothesis: summary and aging components repeat information without a shared compact account-detail hierarchy.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the customer account from Công nợ phải thu as Accountant; inspect the initial phone and tablet views.</w:t>
      </w:r>
    </w:p>
    <w:p>
      <w:pPr>
        <w:spacing w:after="60"/>
        <w:ind w:left="317" w:hanging="317"/>
      </w:pPr>
      <w:r>
        <w:t xml:space="preserve">2. </w:t>
      </w:r>
      <w:r>
        <w:t>Compare summary cards, aging detail and the position of record navigation. Open a supplier account from Công nợ phải trả and compare the same hierarchy.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Combine repeated summary values and risk information into a compact region. Show meaningful warnings immediately; make all aging buckets and explanatory details easy to expand.</w:t>
      </w:r>
    </w:p>
    <w:p>
      <w:pPr>
        <w:spacing w:after="60"/>
        <w:ind w:left="317" w:hanging="317"/>
      </w:pPr>
      <w:r>
        <w:t xml:space="preserve">2. </w:t>
      </w:r>
      <w:r>
        <w:t>In the observed fixtures, expose ledger navigation and core filters within the initial phone and tablet viewport. Avoid nested summary cards and dedicated tall cards for empty aging buckets.</w:t>
      </w:r>
    </w:p>
    <w:p>
      <w:pPr>
        <w:spacing w:after="60"/>
        <w:ind w:left="317" w:hanging="317"/>
      </w:pPr>
      <w:r>
        <w:t xml:space="preserve">3. </w:t>
      </w:r>
      <w:r>
        <w:t>Keep period selection and transaction filters in a compact coherent toolbar. Preserve current versus period balances, dates, account context and active filter values.</w:t>
      </w:r>
    </w:p>
    <w:p>
      <w:pPr>
        <w:spacing w:after="60"/>
        <w:ind w:left="317" w:hanging="317"/>
      </w:pPr>
      <w:r>
        <w:t xml:space="preserve">4. </w:t>
      </w:r>
      <w:r>
        <w:t>Retain aging drilldowns, payment and statement actions, permissions and transaction content. This change must not alter financial calculations or hide overdue balances.</w:t>
      </w:r>
    </w:p>
    <w:p>
      <w:pPr>
        <w:spacing w:after="60"/>
        <w:ind w:left="317" w:hanging="317"/>
      </w:pPr>
      <w:r>
        <w:t xml:space="preserve">5. </w:t>
      </w:r>
      <w:r>
        <w:t>Verify empty, single-bucket and mixed-aging accounts at all three widths. Maintain readable figures, visible focus and approximately 44-pixel phone touch targets without oversized headings or fields.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captures and viewport metadata.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Prioritize account ledgers with compact debt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102 evidence 1" descr="Receivable account at 390 × 844: four full-width summary cards precede the expanded aging panel, with record navigation below the initial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debt-detail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Receivable account at 390 × 844: four full-width summary cards precede the expanded aging panel, with record navigation below the initial view.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Prioritize account ledgers with compact debt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102 evidence 2" descr="Receivable account at 834 × 1112: summary cards and the expanded aging panel repeat the balance before record navigation near the bott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debt-detail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Receivable account at 834 × 1112: summary cards and the expanded aging panel repeat the balance before record navigation near the bottom.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Prioritize account ledgers with compact debt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9622" cy="6629400"/>
            <wp:docPr id="3" name="Picture 3" title="QA-102 evidence 3" descr="Supplier account at 834 × 1112, cropped below contact details: the expanded aging panel and stacked period controls precede transaction content. The crop preserves the original pix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102-payable-summary-tablet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22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Supplier account at 834 × 1112, cropped below contact details: the expanded aging panel and stacked period controls precede transaction content. The crop preserves the original pixels.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QA-102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Prioritize account ledgers with compact debt summaries</dc:title>
  <dc:subject>Staging frontend QA task</dc:subject>
  <dc:creator>QA</dc:creator>
  <cp:keywords>QA-102,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