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80" w:before="900"/>
        <w:jc w:val="center"/>
      </w:pPr>
      <w:r>
        <w:rPr>
          <w:rFonts w:ascii="Arial" w:cs="Arial" w:eastAsia="Arial" w:hAnsi="Arial"/>
          <w:b/>
          <w:bCs/>
          <w:i w:val="false"/>
          <w:iCs w:val="false"/>
          <w:color w:val="174A7E"/>
          <w:sz w:val="38"/>
          <w:szCs w:val="38"/>
        </w:rPr>
        <w:t xml:space="preserve">TingTing</w:t>
      </w:r>
    </w:p>
    <w:p>
      <w:pPr>
        <w:keepNext w:val="false"/>
        <w:spacing w:after="900"/>
        <w:jc w:val="center"/>
      </w:pPr>
      <w:r>
        <w:rPr>
          <w:rFonts w:ascii="Arial" w:cs="Arial" w:eastAsia="Arial" w:hAnsi="Arial"/>
          <w:b/>
          <w:bCs/>
          <w:i w:val="false"/>
          <w:iCs w:val="false"/>
          <w:color w:val="5B6573"/>
          <w:sz w:val="19"/>
          <w:szCs w:val="19"/>
        </w:rPr>
        <w:t xml:space="preserve">HỆ THỐNG QUẢN LÝ VẬN TẢI VÀ HẬU CẦN</w:t>
      </w:r>
    </w:p>
    <w:p>
      <w:pPr>
        <w:keepNext w:val="false"/>
        <w:spacing w:after="180"/>
        <w:jc w:val="center"/>
      </w:pPr>
      <w:r>
        <w:rPr>
          <w:rFonts w:ascii="Arial" w:cs="Arial" w:eastAsia="Arial" w:hAnsi="Arial"/>
          <w:b/>
          <w:bCs/>
          <w:i w:val="false"/>
          <w:iCs w:val="false"/>
          <w:color w:val="174A7E"/>
          <w:sz w:val="34"/>
          <w:szCs w:val="34"/>
        </w:rPr>
        <w:t xml:space="preserve">PHIẾU KHẢO SÁT VÀ XÁC NHẬN YÊU CẦU</w:t>
      </w:r>
    </w:p>
    <w:p>
      <w:pPr>
        <w:keepNext w:val="false"/>
        <w:spacing w:after="700"/>
        <w:jc w:val="center"/>
      </w:pPr>
      <w:r>
        <w:rPr>
          <w:rFonts w:ascii="Arial" w:cs="Arial" w:eastAsia="Arial" w:hAnsi="Arial"/>
          <w:b/>
          <w:bCs/>
          <w:i w:val="false"/>
          <w:iCs w:val="false"/>
          <w:color w:val="2F75B5"/>
          <w:sz w:val="23"/>
          <w:szCs w:val="23"/>
        </w:rPr>
        <w:t xml:space="preserve">PHÂN HỆ 2 — BÁO GIÁ CƯỚC VÀ DOANH THU PHI VẬN TẢI</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400"/>
        <w:gridCol w:w="7706"/>
      </w:tblGrid>
      <w:tr>
        <w:trPr>
          <w:tblHeader/>
        </w:trPr>
        <w:tc>
          <w:tcPr>
            <w:tcW w:type="dxa" w:w="24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Thông tin</w:t>
            </w:r>
          </w:p>
        </w:tc>
        <w:tc>
          <w:tcPr>
            <w:tcW w:type="dxa" w:w="77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Nội dung</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Khách hàng</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Công ty TNHH Thương mại và Dịch vụ Silver Sea</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Mục đích</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Thống nhất bảng giá, cách tự động tính doanh thu và cách ghi nhận các khoản thu ngoài cước vận chuyển.</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Căn cứ phạm vi</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Báo giá TTransport cho Silver Sea — Phiên bản 2 ngày 20/07/2026</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Phiên bản</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Bản làm việc 1.0</w:t>
            </w:r>
          </w:p>
        </w:tc>
      </w:tr>
      <w:tr>
        <w:trPr>
          <w:cantSplit/>
        </w:trPr>
        <w:tc>
          <w:tcPr>
            <w:tcW w:type="dxa" w:w="24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Ngày lập</w:t>
            </w:r>
          </w:p>
        </w:tc>
        <w:tc>
          <w:tcPr>
            <w:tcW w:type="dxa" w:w="77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21/07/2026</w:t>
            </w:r>
          </w:p>
        </w:tc>
      </w:tr>
      <w:tr>
        <w:trPr>
          <w:cantSplit/>
        </w:trPr>
        <w:tc>
          <w:tcPr>
            <w:tcW w:type="dxa" w:w="24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Trạng thái</w:t>
            </w:r>
          </w:p>
        </w:tc>
        <w:tc>
          <w:tcPr>
            <w:tcW w:type="dxa" w:w="77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Dùng trong buổi khảo sát và xác nhận yêu cầu</w:t>
            </w:r>
          </w:p>
        </w:tc>
      </w:tr>
    </w:tbl>
    <w:p>
      <w:pPr>
        <w:keepNext w:val="false"/>
        <w:spacing w:before="700"/>
        <w:jc w:val="center"/>
      </w:pPr>
      <w:r>
        <w:rPr>
          <w:rFonts w:ascii="Arial" w:cs="Arial" w:eastAsia="Arial" w:hAnsi="Arial"/>
          <w:b/>
          <w:bCs/>
          <w:i w:val="false"/>
          <w:iCs w:val="false"/>
          <w:color w:val="5B6573"/>
          <w:sz w:val="17"/>
          <w:szCs w:val="17"/>
        </w:rPr>
        <w:t xml:space="preserve">TÀI LIỆU LÀM VIỆC — CẦN XÁC NHẬN TRƯỚC KHI TRIỂN KHAI</w:t>
      </w:r>
    </w:p>
    <w:p>
      <w:pPr>
        <w:keepNext w:val="false"/>
        <w:spacing w:after="100" w:line="260"/>
        <w:jc w:val="left"/>
      </w:pPr>
      <w:r>
        <w:br w:type="page"/>
      </w:r>
    </w:p>
    <w:p>
      <w:pPr>
        <w:pStyle w:val="Heading1"/>
        <w:keepNext/>
      </w:pPr>
      <w:r>
        <w:rPr>
          <w:rFonts w:ascii="Arial" w:cs="Arial" w:eastAsia="Arial" w:hAnsi="Arial"/>
          <w:b/>
          <w:bCs/>
          <w:i w:val="false"/>
          <w:iCs w:val="false"/>
          <w:color w:val="174A7E"/>
          <w:sz w:val="28"/>
          <w:szCs w:val="28"/>
        </w:rPr>
        <w:t xml:space="preserve">1. Mục đích và cách sử dụng tài liệu</w:t>
      </w:r>
    </w:p>
    <w:p>
      <w:pPr>
        <w:keepNext w:val="false"/>
        <w:spacing w:after="100" w:line="260"/>
        <w:jc w:val="left"/>
      </w:pPr>
      <w:r>
        <w:rPr>
          <w:rFonts w:ascii="Arial" w:cs="Arial" w:eastAsia="Arial" w:hAnsi="Arial"/>
          <w:b w:val="false"/>
          <w:bCs w:val="false"/>
          <w:i w:val="false"/>
          <w:iCs w:val="false"/>
          <w:color w:val="263238"/>
          <w:sz w:val="20"/>
          <w:szCs w:val="20"/>
        </w:rPr>
        <w:t xml:space="preserve">Tài liệu này dùng để thống nhất nhu cầu nghiệp vụ, quy tắc xử lý và kết quả được xem là đạt trước khi triển khai Phân hệ 2. Nội dung trong cột “Đề xuất của TingTing” là phương án thảo luận, chỉ trở thành yêu cầu chính thức sau khi Silver Sea xác nhận.</w:t>
      </w:r>
    </w:p>
    <w:p>
      <w:pPr>
        <w:pStyle w:val="Heading2"/>
        <w:keepNext/>
      </w:pPr>
      <w:r>
        <w:rPr>
          <w:rFonts w:ascii="Arial" w:cs="Arial" w:eastAsia="Arial" w:hAnsi="Arial"/>
          <w:b/>
          <w:bCs/>
          <w:i w:val="false"/>
          <w:iCs w:val="false"/>
          <w:color w:val="174A7E"/>
          <w:sz w:val="23"/>
          <w:szCs w:val="23"/>
        </w:rPr>
        <w:t xml:space="preserve">1.1 Cách ghi nhận trong buổi làm việc</w:t>
      </w:r>
    </w:p>
    <w:p>
      <w:pPr>
        <w:keepNext w:val="false"/>
        <w:spacing w:after="100" w:line="260"/>
        <w:jc w:val="left"/>
      </w:pPr>
      <w:r>
        <w:rPr>
          <w:rFonts w:ascii="Arial" w:cs="Arial" w:eastAsia="Arial" w:hAnsi="Arial"/>
          <w:b w:val="false"/>
          <w:bCs w:val="false"/>
          <w:i w:val="false"/>
          <w:iCs w:val="false"/>
          <w:color w:val="263238"/>
          <w:sz w:val="20"/>
          <w:szCs w:val="20"/>
        </w:rPr>
        <w:t xml:space="preserve">Đối với từng câu hỏi, đánh dấu “Chấp thuận”, “Cần điều chỉnh” hoặc “Không áp dụng”; ghi rõ nội dung điều chỉnh, người cung cấp dữ liệu và thời hạn hoàn thành.</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5EE"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Nguyên tắc nghiệm thu</w:t>
            </w:r>
          </w:p>
          <w:p>
            <w:pPr>
              <w:keepNext w:val="false"/>
              <w:spacing w:after="0" w:line="250"/>
              <w:jc w:val="left"/>
            </w:pPr>
            <w:r>
              <w:rPr>
                <w:rFonts w:ascii="Arial" w:cs="Arial" w:eastAsia="Arial" w:hAnsi="Arial"/>
                <w:b w:val="false"/>
                <w:bCs w:val="false"/>
                <w:i w:val="false"/>
                <w:iCs w:val="false"/>
                <w:color w:val="263238"/>
                <w:sz w:val="20"/>
                <w:szCs w:val="20"/>
              </w:rPr>
              <w:t xml:space="preserve">Mỗi tiêu chí phải có dữ liệu thử, người thực hiện, kết quả mong đợi và bằng chứng. Ngoại lệ được chấp thuận phải nêu rõ người có quyền xử lý và yêu cầu ghi nhật ký.</w:t>
            </w:r>
          </w:p>
        </w:tc>
      </w:tr>
    </w:tbl>
    <w:p>
      <w:pPr>
        <w:pStyle w:val="Heading2"/>
        <w:keepNext/>
      </w:pPr>
      <w:r>
        <w:rPr>
          <w:rFonts w:ascii="Arial" w:cs="Arial" w:eastAsia="Arial" w:hAnsi="Arial"/>
          <w:b/>
          <w:bCs/>
          <w:i w:val="false"/>
          <w:iCs w:val="false"/>
          <w:color w:val="174A7E"/>
          <w:sz w:val="23"/>
          <w:szCs w:val="23"/>
        </w:rPr>
        <w:t xml:space="preserve">1.2 Thuật ngữ sử dụng thống nhất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600"/>
        <w:gridCol w:w="7506"/>
      </w:tblGrid>
      <w:tr>
        <w:trPr>
          <w:tblHeader/>
        </w:trPr>
        <w:tc>
          <w:tcPr>
            <w:tcW w:type="dxa" w:w="2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Thuật ngữ</w:t>
            </w:r>
          </w:p>
        </w:tc>
        <w:tc>
          <w:tcPr>
            <w:tcW w:type="dxa" w:w="75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8"/>
                <w:szCs w:val="18"/>
              </w:rPr>
              <w:t xml:space="preserve">Ý nghĩa</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Bảng giá cước</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Tập hợp đơn giá có ngày hiệu lực theo khách hàng, tuyến và điều kiện áp dụng.</w:t>
            </w:r>
          </w:p>
        </w:tc>
      </w:tr>
      <w:tr>
        <w:trPr>
          <w:cantSplit/>
        </w:trPr>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Xe tải hàng rời</w:t>
            </w:r>
          </w:p>
        </w:tc>
        <w:tc>
          <w:tcPr>
            <w:tcW w:type="dxa" w:w="75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Xe vận chuyển hàng không đóng trong công-te-nơ, có thể tính cước theo trọng lượng.</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Doanh thu phi vận tải</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Khoản thu không phải cước vận chuyển chính, được theo dõi tách riêng.</w:t>
            </w:r>
          </w:p>
        </w:tc>
      </w:tr>
      <w:tr>
        <w:trPr>
          <w:cantSplit/>
        </w:trPr>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Ngày hiệu lực</w:t>
            </w:r>
          </w:p>
        </w:tc>
        <w:tc>
          <w:tcPr>
            <w:tcW w:type="dxa" w:w="75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Ngày bắt đầu áp dụng một mức giá; không làm thay đổi chứng từ đã chốt trước đó.</w:t>
            </w:r>
          </w:p>
        </w:tc>
      </w:tr>
      <w:tr>
        <w:trPr>
          <w:cantSplit/>
        </w:trPr>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Nhật ký thao tác</w:t>
            </w:r>
          </w:p>
        </w:tc>
        <w:tc>
          <w:tcPr>
            <w:tcW w:type="dxa" w:w="75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8"/>
                <w:szCs w:val="18"/>
              </w:rPr>
              <w:t xml:space="preserve">Lịch sử ghi nhận ai đã làm gì, vào thời điểm nào và lý do thay đổi.</w:t>
            </w:r>
          </w:p>
        </w:tc>
      </w:tr>
    </w:tbl>
    <w:p>
      <w:pPr>
        <w:pStyle w:val="Heading1"/>
        <w:keepNext/>
        <w:pageBreakBefore/>
      </w:pPr>
      <w:r>
        <w:rPr>
          <w:rFonts w:ascii="Arial" w:cs="Arial" w:eastAsia="Arial" w:hAnsi="Arial"/>
          <w:b/>
          <w:bCs/>
          <w:i w:val="false"/>
          <w:iCs w:val="false"/>
          <w:color w:val="174A7E"/>
          <w:sz w:val="28"/>
          <w:szCs w:val="28"/>
        </w:rPr>
        <w:t xml:space="preserve">2. Phạm vi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900"/>
        <w:gridCol w:w="4300"/>
        <w:gridCol w:w="4906"/>
      </w:tblGrid>
      <w:tr>
        <w:trPr>
          <w:tblHeader/>
        </w:trPr>
        <w:tc>
          <w:tcPr>
            <w:tcW w:type="dxa" w:w="9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Mục</w:t>
            </w:r>
          </w:p>
        </w:tc>
        <w:tc>
          <w:tcPr>
            <w:tcW w:type="dxa" w:w="4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Nội dung</w:t>
            </w:r>
          </w:p>
        </w:tc>
        <w:tc>
          <w:tcPr>
            <w:tcW w:type="dxa" w:w="49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6"/>
                <w:szCs w:val="16"/>
              </w:rPr>
              <w:t xml:space="preserve">Kết quả cần chốt</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2.1</w:t>
            </w:r>
          </w:p>
        </w:tc>
        <w:tc>
          <w:tcPr>
            <w:tcW w:type="dxa" w:w="4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Bảng giá cố định theo khách hàng và tuyến</w:t>
            </w:r>
          </w:p>
        </w:tc>
        <w:tc>
          <w:tcPr>
            <w:tcW w:type="dxa" w:w="49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Chọn đúng mức giá có hiệu lực tại ngày chuyến; không cho hai mức giá cùng điều kiện bị chồng thời gian</w:t>
            </w:r>
          </w:p>
        </w:tc>
      </w:tr>
      <w:tr>
        <w:trPr>
          <w:cantSplit/>
        </w:trPr>
        <w:tc>
          <w:tcPr>
            <w:tcW w:type="dxa" w:w="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2.2</w:t>
            </w:r>
          </w:p>
        </w:tc>
        <w:tc>
          <w:tcPr>
            <w:tcW w:type="dxa" w:w="4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Bảng giá theo tuyến và trọng lượng cho xe tải hàng rời</w:t>
            </w:r>
          </w:p>
        </w:tc>
        <w:tc>
          <w:tcPr>
            <w:tcW w:type="dxa" w:w="49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Các khoảng trọng lượng không được chồng lấn hoặc bỏ khoảng ngoài chủ ý; quy tắc làm tròn phải được chốt</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2.3</w:t>
            </w:r>
          </w:p>
        </w:tc>
        <w:tc>
          <w:tcPr>
            <w:tcW w:type="dxa" w:w="4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Tự động tính doanh thu từ trọng lượng lô hàng</w:t>
            </w:r>
          </w:p>
        </w:tc>
        <w:tc>
          <w:tcPr>
            <w:tcW w:type="dxa" w:w="49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Doanh thu được tính từ trọng lượng hợp lệ và bảng giá tại ngày chuyến; tính lại khi dữ liệu nguồn đổi trước khi chốt</w:t>
            </w:r>
          </w:p>
        </w:tc>
      </w:tr>
      <w:tr>
        <w:trPr>
          <w:cantSplit/>
        </w:trPr>
        <w:tc>
          <w:tcPr>
            <w:tcW w:type="dxa" w:w="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2.4</w:t>
            </w:r>
          </w:p>
        </w:tc>
        <w:tc>
          <w:tcPr>
            <w:tcW w:type="dxa" w:w="4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Gợi ý đơn giá nâng hạ theo cảng</w:t>
            </w:r>
          </w:p>
        </w:tc>
        <w:tc>
          <w:tcPr>
            <w:tcW w:type="dxa" w:w="49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Gợi ý theo đúng cảng và ngày hiệu lực; cho phép sửa có lý do và hiển thị chênh lệch</w:t>
            </w:r>
          </w:p>
        </w:tc>
      </w:tr>
      <w:tr>
        <w:trPr>
          <w:cantSplit/>
        </w:trPr>
        <w:tc>
          <w:tcPr>
            <w:tcW w:type="dxa" w:w="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2.5</w:t>
            </w:r>
          </w:p>
        </w:tc>
        <w:tc>
          <w:tcPr>
            <w:tcW w:type="dxa" w:w="4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Theo dõi doanh thu phi vận tải</w:t>
            </w:r>
          </w:p>
        </w:tc>
        <w:tc>
          <w:tcPr>
            <w:tcW w:type="dxa" w:w="49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6"/>
                <w:szCs w:val="16"/>
              </w:rPr>
              <w:t xml:space="preserve">Tách riêng hàng lẻ, ghép xe, chênh lệch dịch vụ và khoản khác; mỗi khoản chỉ ghi nhận một lần</w:t>
            </w:r>
          </w:p>
        </w:tc>
      </w:tr>
    </w:tbl>
    <w:p>
      <w:pPr>
        <w:keepNext w:val="false"/>
        <w:spacing w:after="100" w:line="260"/>
        <w:jc w:val="left"/>
      </w:pPr>
      <w:r>
        <w:rPr>
          <w:rFonts w:ascii="Arial" w:cs="Arial" w:eastAsia="Arial" w:hAnsi="Arial"/>
          <w:b w:val="false"/>
          <w:bCs w:val="false"/>
          <w:i w:val="false"/>
          <w:iCs w:val="false"/>
          <w:color w:val="263238"/>
          <w:sz w:val="20"/>
          <w:szCs w:val="20"/>
        </w:rPr>
        <w:t xml:space="preserve">Phân hệ 2 gồm 5 nhóm chức năng. Mỗi nhóm dưới đây có câu hỏi riêng, tiêu chí nghiệm thu và ô kết luận để tránh sử dụng các yêu cầu chung chung.</w:t>
      </w:r>
    </w:p>
    <w:p>
      <w:pPr>
        <w:pStyle w:val="Heading1"/>
        <w:keepNext/>
        <w:pageBreakBefore/>
      </w:pPr>
      <w:r>
        <w:rPr>
          <w:rFonts w:ascii="Arial" w:cs="Arial" w:eastAsia="Arial" w:hAnsi="Arial"/>
          <w:b/>
          <w:bCs/>
          <w:i w:val="false"/>
          <w:iCs w:val="false"/>
          <w:color w:val="174A7E"/>
          <w:sz w:val="28"/>
          <w:szCs w:val="28"/>
        </w:rPr>
        <w:t xml:space="preserve">2.1 Bảng giá cố định theo khách hàng và tuyến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Kế toán hoặc quản lý bảng giá; điều vận chỉ sử dụng cần bảng giá cố định theo khách hàng và tuyến. Kết quả mong muốn: khi tạo chuyến, hệ thống gợi ý đơn giá và lưu mức giá đã áp dụng để đối soát</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bảng giá cố định theo khách hàng và tuyến?</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khách hàng, tuyến, loại xe, đơn giá, thuế và ngày hiệu lực</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 toán hoặc quản lý bảng giá; điều vận chỉ sử dụng</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Chọn đúng mức giá có hiệu lực tại ngày chuyến; không cho hai mức giá cùng điều kiện bị chồng thời gian</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Khi tạo chuyến, hệ thống gợi ý đơn giá và lưu mức giá đã áp dụng để đối soát</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Người có quyền được sửa giá gợi ý trước khi chốt nhưng phải nêu lý do và giữ giá ban đầu</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Thay giá giữa tháng; chuyến hồi tố; khách hàng chưa có bảng giá</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M02-01-01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Luồng nghiệp vụ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khách hàng, tuyến, loại xe, đơn giá, thuế và ngày hiệu lực và hoàn tất thao tác.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Khi tạo chuyến, hệ thống gợi ý đơn giá và lưu mức giá đã áp dụng để đối soát</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M02-01-02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chuyển sang trạng thái không hợp lệ.</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M02-01-03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ngoại lệ</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Người có quyền được sửa giá gợi ý trước khi chốt nhưng phải nêu lý do và giữ giá ban đầu</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Hệ thống xử lý theo quy tắc đã chốt, yêu cầu đúng quyền và lưu lý do khi cần.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M02-01-04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thao tác</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có quyền thử tạo, sửa, duyệt, chốt hoặc xóa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thao tác; dữ liệu không thay đổi; nhật ký phân biệt rõ thao tác thất bại.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M02-01-05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lại hoặc thao tác đồng thời</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cùng yêu cầu hai lần hoặc thực hiện đồng thời; đồng thời kiểm tra thay giá giữa tháng; chuyến hồi tố; khách hàng chưa có bảng giá.</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tạo dữ liệu hoặc bút toán trùng; trạng thái cuối cùng nhất quán và truy vết được.</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2.2 Bảng giá theo tuyến và trọng lượng cho xe tải hàng rời</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Kế toán cấu hình; điều vận nhập trọng lượng cần bảng giá theo tuyến và trọng lượng cho xe tải hàng rời. Kết quả mong muốn: hệ thống chọn đúng bậc giá và giải thích bậc đã dùng</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bảng giá theo tuyến và trọng lượng cho xe tải hàng rời?</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tuyến, khoảng trọng lượng, đơn vị tấn, loại hàng, đơn giá và ngày hiệu lực</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 toán cấu hình; điều vận nhập trọng lượng</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Các khoảng trọng lượng không được chồng lấn hoặc bỏ khoảng ngoài chủ ý; quy tắc làm tròn phải được chốt</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Hệ thống chọn đúng bậc giá và giải thích bậc đã dùng</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Trọng lượng ngoài bảng phải cảnh báo và yêu cầu chọn giá thủ công có lý do</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Trọng lượng đúng ranh giới; số lẻ; đơn vị nhập khác tấn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M02-02-01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toán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tuyến, khoảng trọng lượng, đơn vị tấn, loại hàng, đơn giá và ngày hiệu lực.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Hệ thống chọn đúng bậc giá và giải thích bậc đã dùng</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M02-02-02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ghi nhận kết quả sai.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M02-02-03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Giá trị biên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tra: Trọng lượng đúng ranh giới; số lẻ; đơn vị nhập khác tấn</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tuân thủ đúng quy tắc và giải thích được cách tính: Các khoảng trọng lượng không được chồng lấn hoặc bỏ khoảng ngoài chủ ý; quy tắc làm tròn phải được chốt</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M02-02-04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Thay đổi hoặc ngoại lệ</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Trọng lượng ngoài bảng phải cảnh báo và yêu cầu chọn giá thủ công có lý do</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Yêu cầu đúng quyền và lý do; giữ giá trị ban đầu, giá trị sau thay đổi và người thực hiện.</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M02-02-05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nhất quán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lại cùng dữ liệu hoặc tải lại sau khi lưu.</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không đổi ngoài chủ ý, không phát sinh dòng trùng và khớp báo cáo chi tiết.</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2.3 Tự động tính doanh thu từ trọng lượng lô hàng</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Điều vận nhập dữ liệu; kế toán kiểm tra cần tự động tính doanh thu từ trọng lượng lô hàng. Kết quả mong muốn: hiển thị công thức, trọng lượng tính cước, đơn giá, phụ phí và tổng tiền</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tự động tính doanh thu từ trọng lượng lô hàng?</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trọng lượng thực tế, tuyến, bậc giá, phụ phí và thuế</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Điều vận nhập dữ liệu; kế toán kiểm tra</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Doanh thu được tính từ trọng lượng hợp lệ và bảng giá tại ngày chuyến; tính lại khi dữ liệu nguồn đổi trước khi chốt</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Hiển thị công thức, trọng lượng tính cước, đơn giá, phụ phí và tổng tiền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Sau khi chốt, thay trọng lượng phải qua điều chỉnh; không tự đổi doanh thu đã ghi nhận</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Trọng lượng bằng không; vượt tải; thay đổi sau cân lần hai</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M02-03-01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toán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trọng lượng thực tế, tuyến, bậc giá, phụ phí và thuế.</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Hiển thị công thức, trọng lượng tính cước, đơn giá, phụ phí và tổng tiền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M02-03-02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ghi nhận kết quả sai.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M02-03-03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Giá trị biên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tra: Trọng lượng bằng không; vượt tải; thay đổi sau cân lần hai</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tuân thủ đúng quy tắc và giải thích được cách tính: Doanh thu được tính từ trọng lượng hợp lệ và bảng giá tại ngày chuyến; tính lại khi dữ liệu nguồn đổi trước khi chốt</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M02-03-04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Thay đổi hoặc ngoại lệ</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Sau khi chốt, thay trọng lượng phải qua điều chỉnh; không tự đổi doanh thu đã ghi nhận</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Yêu cầu đúng quyền và lý do; giữ giá trị ban đầu, giá trị sau thay đổi và người thực hiện.</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M02-03-05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nhất quán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lại cùng dữ liệu hoặc tải lại sau khi lưu.</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không đổi ngoài chủ ý, không phát sinh dòng trùng và khớp báo cáo chi tiết.</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2.4 Gợi ý đơn giá nâng hạ theo cảng</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Kế toán quản lý giá; giao nhận hoặc CUS sử dụng cần gợi ý đơn giá nâng hạ theo cảng. Kết quả mong muốn: khoản chi hiển thị giá gợi ý, giá thực tế, chênh lệch và người sửa</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gợi ý đơn giá nâng hạ theo cảng?</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cảng, loại công-te-nơ, chiều nâng hoặc hạ, ngày phát sinh và biểu giá</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 toán quản lý giá; giao nhận hoặc CUS sử dụng</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Gợi ý theo đúng cảng và ngày hiệu lực; cho phép sửa có lý do và hiển thị chênh lệch</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Khoản chi hiển thị giá gợi ý, giá thực tế, chênh lệch và người sửa</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Không có giá phù hợp thì không tự điền giá cũ; yêu cầu người dùng nhập và ghi chú</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Cảng đổi giá giữa ngày; loại công-te-nơ khác nhau; cùng lô có cả nâng và hạ</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M02-04-01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toán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cảng, loại công-te-nơ, chiều nâng hoặc hạ, ngày phát sinh và biểu giá.</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Khoản chi hiển thị giá gợi ý, giá thực tế, chênh lệch và người sửa</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M02-04-02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ghi nhận kết quả sai.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M02-04-03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Giá trị biên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tra: Cảng đổi giá giữa ngày; loại công-te-nơ khác nhau; cùng lô có cả nâng và hạ</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tuân thủ đúng quy tắc và giải thích được cách tính: Gợi ý theo đúng cảng và ngày hiệu lực; cho phép sửa có lý do và hiển thị chênh lệch</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M02-04-04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Thay đổi hoặc ngoại lệ</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Không có giá phù hợp thì không tự điền giá cũ; yêu cầu người dùng nhập và ghi chú</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Yêu cầu đúng quyền và lý do; giữ giá trị ban đầu, giá trị sau thay đổi và người thực hiện.</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M02-04-05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nhất quán</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Tính lại cùng dữ liệu hoặc tải lại sau khi lưu.</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Kết quả không đổi ngoài chủ ý, không phát sinh dòng trùng và khớp báo cáo chi tiết.</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2.5 Theo dõi doanh thu phi vận tải</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EAF2F8"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Nhu cầu nghiệp vụ</w:t>
            </w:r>
          </w:p>
          <w:p>
            <w:pPr>
              <w:keepNext w:val="false"/>
              <w:spacing w:after="0" w:line="250"/>
              <w:jc w:val="left"/>
            </w:pPr>
            <w:r>
              <w:rPr>
                <w:rFonts w:ascii="Arial" w:cs="Arial" w:eastAsia="Arial" w:hAnsi="Arial"/>
                <w:b w:val="false"/>
                <w:bCs w:val="false"/>
                <w:i w:val="false"/>
                <w:iCs w:val="false"/>
                <w:color w:val="263238"/>
                <w:sz w:val="20"/>
                <w:szCs w:val="20"/>
              </w:rPr>
              <w:t xml:space="preserve">Kế toán ghi nhận; quản lý xem và duyệt quy tắc cần theo dõi doanh thu phi vận tải. Kết quả mong muốn: báo cáo thể hiện doanh thu phi vận tải theo loại, khách hàng, kỳ và chứng từ nguồn</w:t>
            </w:r>
          </w:p>
        </w:tc>
      </w:tr>
    </w:tbl>
    <w:p>
      <w:pPr>
        <w:pStyle w:val="Heading2"/>
        <w:keepNext/>
      </w:pPr>
      <w:r>
        <w:rPr>
          <w:rFonts w:ascii="Arial" w:cs="Arial" w:eastAsia="Arial" w:hAnsi="Arial"/>
          <w:b/>
          <w:bCs/>
          <w:i w:val="false"/>
          <w:iCs w:val="false"/>
          <w:color w:val="174A7E"/>
          <w:sz w:val="23"/>
          <w:szCs w:val="23"/>
        </w:rPr>
        <w:t xml:space="preserve">A. Nội dung cần Silver Sea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450"/>
        <w:gridCol w:w="4050"/>
        <w:gridCol w:w="29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4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Câu hỏi</w:t>
            </w:r>
          </w:p>
        </w:tc>
        <w:tc>
          <w:tcPr>
            <w:tcW w:type="dxa" w:w="4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của TingTing</w:t>
            </w:r>
          </w:p>
        </w:tc>
        <w:tc>
          <w:tcPr>
            <w:tcW w:type="dxa" w:w="29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Ghi nhận của Silver Sea</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nào cần có để theo dõi doanh thu phi vận tải?</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khách hàng, lô hoặc chuyến, loại doanh thu, số tiền, thuế, ngày và chứng từ</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Ai được thực hiện, kiểm tra hoặc xác nhận?</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 toán ghi nhận; quản lý xem và duyệt quy tắc</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Quy tắc xử lý chính cần thống nhất?</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Tách riêng hàng lẻ, ghép xe, chênh lệch dịch vụ và khoản khác; mỗi khoản chỉ ghi nhận một lần</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cần hiển thị hoặc lưu lại?</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Báo cáo thể hiện doanh thu phi vận tải theo loại, khách hàng, kỳ và chứng từ nguồn</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4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Xử lý trường hợp ngoại lệ như thế nào?</w:t>
            </w:r>
          </w:p>
        </w:tc>
        <w:tc>
          <w:tcPr>
            <w:tcW w:type="dxa" w:w="4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Khoản hoàn hoặc giảm trừ phải dùng số âm có lý do; không sửa khoản đã chốt</w:t>
            </w:r>
          </w:p>
        </w:tc>
        <w:tc>
          <w:tcPr>
            <w:tcW w:type="dxa" w:w="29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4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Những trường hợp biên nào cần kiểm tra?</w:t>
            </w:r>
          </w:p>
        </w:tc>
        <w:tc>
          <w:tcPr>
            <w:tcW w:type="dxa" w:w="4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Khoản không gắn chuyến; một chứng từ cho nhiều lô; doanh thu phát sinh kỳ sau</w:t>
            </w:r>
          </w:p>
        </w:tc>
        <w:tc>
          <w:tcPr>
            <w:tcW w:type="dxa" w:w="29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2"/>
        <w:keepNext/>
      </w:pPr>
      <w:r>
        <w:rPr>
          <w:rFonts w:ascii="Arial" w:cs="Arial" w:eastAsia="Arial" w:hAnsi="Arial"/>
          <w:b/>
          <w:bCs/>
          <w:i w:val="false"/>
          <w:iCs w:val="false"/>
          <w:color w:val="174A7E"/>
          <w:sz w:val="23"/>
          <w:szCs w:val="23"/>
        </w:rPr>
        <w:t xml:space="preserve">B. Tiêu chí nghiệm thu đề xuất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250"/>
        <w:gridCol w:w="2050"/>
        <w:gridCol w:w="2700"/>
        <w:gridCol w:w="4106"/>
      </w:tblGrid>
      <w:tr>
        <w:trPr>
          <w:tblHeader/>
        </w:trPr>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w:t>
            </w:r>
          </w:p>
        </w:tc>
        <w:tc>
          <w:tcPr>
            <w:tcW w:type="dxa" w:w="2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Tình huống</w:t>
            </w:r>
          </w:p>
        </w:tc>
        <w:tc>
          <w:tcPr>
            <w:tcW w:type="dxa" w:w="27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Cách thực hiện</w:t>
            </w:r>
          </w:p>
        </w:tc>
        <w:tc>
          <w:tcPr>
            <w:tcW w:type="dxa" w:w="4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đạt</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M02-05-01</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Luồng nghiệp vụ thông thường</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Nhập đầy đủ khách hàng, lô hoặc chuyến, loại doanh thu, số tiền, thuế, ngày và chứng từ và hoàn tất thao tác.</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Báo cáo thể hiện doanh thu phi vận tải theo loại, khách hàng, kỳ và chứng từ nguồn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M02-05-02</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Thiếu hoặc sai dữ liệu</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Bỏ trống một dữ liệu bắt buộc hoặc nhập giá trị không hợp lệ.</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Cảnh báo bằng tiếng Việt, chỉ rõ dữ liệu cần sửa và không chuyển sang trạng thái không hợp lệ.</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M02-05-03</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Trường hợp ngoại lệ</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Thực hiện trường hợp: Khoản hoàn hoặc giảm trừ phải dùng số âm có lý do; không sửa khoản đã chốt</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Hệ thống xử lý theo quy tắc đã chốt, yêu cầu đúng quyền và lưu lý do khi cần.</w:t>
            </w:r>
          </w:p>
        </w:tc>
      </w:tr>
      <w:tr>
        <w:trPr>
          <w:cantSplit/>
        </w:trPr>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M02-05-04</w:t>
            </w:r>
          </w:p>
        </w:tc>
        <w:tc>
          <w:tcPr>
            <w:tcW w:type="dxa" w:w="2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Kiểm soát quyền thao tác</w:t>
            </w:r>
          </w:p>
        </w:tc>
        <w:tc>
          <w:tcPr>
            <w:tcW w:type="dxa" w:w="27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Người không có quyền thử tạo, sửa, duyệt, chốt hoặc xóa dữ liệu.</w:t>
            </w:r>
          </w:p>
        </w:tc>
        <w:tc>
          <w:tcPr>
            <w:tcW w:type="dxa" w:w="4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Từ chối thao tác; dữ liệu không thay đổi; nhật ký phân biệt rõ thao tác thất bại.</w:t>
            </w:r>
          </w:p>
        </w:tc>
      </w:tr>
      <w:tr>
        <w:trPr>
          <w:cantSplit/>
        </w:trPr>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M02-05-05</w:t>
            </w:r>
          </w:p>
        </w:tc>
        <w:tc>
          <w:tcPr>
            <w:tcW w:type="dxa" w:w="2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lại hoặc thao tác đồng thời</w:t>
            </w:r>
          </w:p>
        </w:tc>
        <w:tc>
          <w:tcPr>
            <w:tcW w:type="dxa" w:w="27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Gửi cùng yêu cầu hai lần hoặc thực hiện đồng thời; đồng thời kiểm tra khoản không gắn chuyến; một chứng từ cho nhiều lô; doanh thu phát sinh kỳ sau.</w:t>
            </w:r>
          </w:p>
        </w:tc>
        <w:tc>
          <w:tcPr>
            <w:tcW w:type="dxa" w:w="4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Không tạo dữ liệu hoặc bút toán trùng; trạng thái cuối cùng nhất quán và truy vết được.</w:t>
            </w:r>
          </w:p>
        </w:tc>
      </w:tr>
    </w:tbl>
    <w:p>
      <w:pPr>
        <w:pStyle w:val="Heading2"/>
        <w:keepNext/>
      </w:pPr>
      <w:r>
        <w:rPr>
          <w:rFonts w:ascii="Arial" w:cs="Arial" w:eastAsia="Arial" w:hAnsi="Arial"/>
          <w:b/>
          <w:bCs/>
          <w:i w:val="false"/>
          <w:iCs w:val="false"/>
          <w:color w:val="174A7E"/>
          <w:sz w:val="23"/>
          <w:szCs w:val="23"/>
        </w:rPr>
        <w:t xml:space="preserve">C. Kết luận của mục</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2100"/>
        <w:gridCol w:w="8006"/>
      </w:tblGrid>
      <w:tr>
        <w:trPr>
          <w:tblHeader/>
        </w:trPr>
        <w:tc>
          <w:tcPr>
            <w:tcW w:type="dxa" w:w="2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Lựa chọn</w:t>
            </w:r>
          </w:p>
        </w:tc>
        <w:tc>
          <w:tcPr>
            <w:tcW w:type="dxa" w:w="8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Chấp thuận</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Áp dụng theo đề xuất và tiêu chí nghiệm thu nêu trên.</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Cần điều chỉnh</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nội dung điều chỉnh: ................................................................................................</w:t>
            </w:r>
          </w:p>
        </w:tc>
      </w:tr>
      <w:tr>
        <w:trPr>
          <w:cantSplit/>
        </w:trPr>
        <w:tc>
          <w:tcPr>
            <w:tcW w:type="dxa" w:w="2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 Không áp dụng</w:t>
            </w:r>
          </w:p>
        </w:tc>
        <w:tc>
          <w:tcPr>
            <w:tcW w:type="dxa" w:w="8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Ghi rõ lý do: ........................................................................................................................</w:t>
            </w:r>
          </w:p>
        </w:tc>
      </w:tr>
      <w:tr>
        <w:trPr>
          <w:cantSplit/>
        </w:trPr>
        <w:tc>
          <w:tcPr>
            <w:tcW w:type="dxa" w:w="2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Người xác nhận</w:t>
            </w:r>
          </w:p>
        </w:tc>
        <w:tc>
          <w:tcPr>
            <w:tcW w:type="dxa" w:w="8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Họ tên: ........................................................  Chức vụ: ........................................................</w:t>
            </w:r>
          </w:p>
        </w:tc>
      </w:tr>
    </w:tbl>
    <w:p>
      <w:pPr>
        <w:pStyle w:val="Heading1"/>
        <w:keepNext/>
        <w:pageBreakBefore/>
      </w:pPr>
      <w:r>
        <w:rPr>
          <w:rFonts w:ascii="Arial" w:cs="Arial" w:eastAsia="Arial" w:hAnsi="Arial"/>
          <w:b/>
          <w:bCs/>
          <w:i w:val="false"/>
          <w:iCs w:val="false"/>
          <w:color w:val="174A7E"/>
          <w:sz w:val="28"/>
          <w:szCs w:val="28"/>
        </w:rPr>
        <w:t xml:space="preserve">4. Câu hỏi dùng chung cần chốt</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620"/>
        <w:gridCol w:w="2600"/>
        <w:gridCol w:w="4100"/>
        <w:gridCol w:w="2786"/>
      </w:tblGrid>
      <w:tr>
        <w:trPr>
          <w:tblHeader/>
        </w:trPr>
        <w:tc>
          <w:tcPr>
            <w:tcW w:type="dxa" w:w="62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STT</w:t>
            </w:r>
          </w:p>
        </w:tc>
        <w:tc>
          <w:tcPr>
            <w:tcW w:type="dxa" w:w="2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Nội dung cần xác nhận</w:t>
            </w:r>
          </w:p>
        </w:tc>
        <w:tc>
          <w:tcPr>
            <w:tcW w:type="dxa" w:w="41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Đề xuất ban đầu</w:t>
            </w:r>
          </w:p>
        </w:tc>
        <w:tc>
          <w:tcPr>
            <w:tcW w:type="dxa" w:w="278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Kết luận</w:t>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1</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Vai trò và quyền truy cập</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người tạo, người kiểm tra, người duyệt và người chỉ được xem trong Phân hệ 2.</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2</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danh mục cần cung cấp</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Silver Sea xác nhận danh mục ban đầu, người phụ trách và thời hạn cung cấp trước khi nhập thử.</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3</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Ngày giờ và kỳ nghiệp vụ</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Dùng giờ Việt Nam; chốt cách xử lý cuối tuần, ngày lễ, dữ liệu qua ngày và khóa kỳ.</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4</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Thông báo</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sự kiện cần thông báo, người nhận, kênh gửi và cách xử lý khi gửi thất bại.</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5</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Tệp đính kèm và tệp xuất</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loại tệp, dung lượng, thời hạn lưu, người được tải xuống và mẫu tài liệu chính thức.</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6</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lịch sử</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phạm vi nhập dữ liệu cũ, cách kiểm tra tổng đầu kỳ và trách nhiệm xác nhận.</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7</w:t>
            </w:r>
          </w:p>
        </w:tc>
        <w:tc>
          <w:tcPr>
            <w:tcW w:type="dxa" w:w="2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Tích hợp với phân hệ khác</w:t>
            </w:r>
          </w:p>
        </w:tc>
        <w:tc>
          <w:tcPr>
            <w:tcW w:type="dxa" w:w="41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Xác nhận dữ liệu đầu vào, đầu ra và thời điểm đồng bộ để tránh nhập lặp hoặc lệch số liệu.</w:t>
            </w:r>
          </w:p>
        </w:tc>
        <w:tc>
          <w:tcPr>
            <w:tcW w:type="dxa" w:w="278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r>
        <w:trPr>
          <w:cantSplit/>
        </w:trPr>
        <w:tc>
          <w:tcPr>
            <w:tcW w:type="dxa" w:w="62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8</w:t>
            </w:r>
          </w:p>
        </w:tc>
        <w:tc>
          <w:tcPr>
            <w:tcW w:type="dxa" w:w="2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Hỗ trợ sau triển khai</w:t>
            </w:r>
          </w:p>
        </w:tc>
        <w:tc>
          <w:tcPr>
            <w:tcW w:type="dxa" w:w="41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Chốt đầu mối, cách ghi nhận lỗi, mức độ ưu tiên và bằng chứng xác nhận đã khắc phục.</w:t>
            </w:r>
          </w:p>
        </w:tc>
        <w:tc>
          <w:tcPr>
            <w:tcW w:type="dxa" w:w="278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
            </w:r>
          </w:p>
        </w:tc>
      </w:tr>
    </w:tbl>
    <w:p>
      <w:pPr>
        <w:pStyle w:val="Heading1"/>
        <w:keepNext/>
        <w:pageBreakBefore/>
      </w:pPr>
      <w:r>
        <w:rPr>
          <w:rFonts w:ascii="Arial" w:cs="Arial" w:eastAsia="Arial" w:hAnsi="Arial"/>
          <w:b/>
          <w:bCs/>
          <w:i w:val="false"/>
          <w:iCs w:val="false"/>
          <w:color w:val="174A7E"/>
          <w:sz w:val="28"/>
          <w:szCs w:val="28"/>
        </w:rPr>
        <w:t xml:space="preserve">5. Tiêu chí nghiệm thu toàn phân hệ</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300"/>
        <w:gridCol w:w="2200"/>
        <w:gridCol w:w="6606"/>
      </w:tblGrid>
      <w:tr>
        <w:trPr>
          <w:tblHeader/>
        </w:trPr>
        <w:tc>
          <w:tcPr>
            <w:tcW w:type="dxa" w:w="1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Mã</w:t>
            </w:r>
          </w:p>
        </w:tc>
        <w:tc>
          <w:tcPr>
            <w:tcW w:type="dxa" w:w="22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Nhóm kiểm tra</w:t>
            </w:r>
          </w:p>
        </w:tc>
        <w:tc>
          <w:tcPr>
            <w:tcW w:type="dxa" w:w="66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5"/>
                <w:szCs w:val="15"/>
              </w:rPr>
              <w:t xml:space="preserve">Tiêu chí đạt</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M02-HT-01</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Ngôn ngữ</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Nhãn, hướng dẫn và thông báo lỗi dùng tiếng Việt; chỉ giữ CUS, tên riêng và mã tiêu chuẩn cần thiết.</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M02-HT-02</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Phân quyền</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Người dùng chỉ xem và thao tác đúng chức năng, đơn vị và dữ liệu được giao; đường dẫn trực tiếp không vượt quyền.</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M02-HT-03</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Nhật ký</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Tạo, sửa, duyệt, chốt, hủy và xử lý ngoại lệ ghi đủ người, thời điểm, thay đổi và lý do.</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M02-HT-04</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Tính toàn vẹn</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Gửi lại do mạng chập chờn hoặc bấm hai lần không tạo bản ghi, chứng từ hay bút toán trùng.</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M02-HT-05</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Tiền tệ</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Số tiền dùng đồng Việt Nam, không có số lẻ; phép cộng trừ và dấu phân cách đúng; màn hình khớp tệp xuất.</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M02-HT-06</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Ngày giờ</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Hiển thị thống nhất theo giờ Việt Nam; thứ tự sự kiện và quy tắc kỳ không thay đổi giữa các màn hình.</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M02-HT-07</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Thiết bị</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Tác vụ chính dùng được trên máy tính và điện thoại mà không che nút, vỡ bảng hoặc mất dữ liệu đã nhập.</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M02-HT-08</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Khôi phục lỗi</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Mất kết nối hoặc máy chủ tạm lỗi có thông báo dễ hiểu; người dùng thử lại an toàn và không mất dữ liệu đã lưu.</w:t>
            </w:r>
          </w:p>
        </w:tc>
      </w:tr>
      <w:tr>
        <w:trPr>
          <w:cantSplit/>
        </w:trPr>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M02-HT-09</w:t>
            </w:r>
          </w:p>
        </w:tc>
        <w:tc>
          <w:tcPr>
            <w:tcW w:type="dxa" w:w="22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Tìm kiếm và xuất dữ liệu</w:t>
            </w:r>
          </w:p>
        </w:tc>
        <w:tc>
          <w:tcPr>
            <w:tcW w:type="dxa" w:w="66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Kết quả tìm kiếm đúng phạm vi quyền; tệp xuất mở được, đủ cột, đúng tổng và không vỡ bố cục.</w:t>
            </w:r>
          </w:p>
        </w:tc>
      </w:tr>
      <w:tr>
        <w:trPr>
          <w:cantSplit/>
        </w:trPr>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M02-HT-10</w:t>
            </w:r>
          </w:p>
        </w:tc>
        <w:tc>
          <w:tcPr>
            <w:tcW w:type="dxa" w:w="22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Đối chiếu liên phân hệ</w:t>
            </w:r>
          </w:p>
        </w:tc>
        <w:tc>
          <w:tcPr>
            <w:tcW w:type="dxa" w:w="66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5"/>
                <w:szCs w:val="15"/>
              </w:rPr>
              <w:t xml:space="preserve">Dữ liệu của Phân hệ 2 khớp nguồn và đích liên quan; mọi chênh lệch truy ngược được tới chứng từ hoặc thao tác.</w:t>
            </w:r>
          </w:p>
        </w:tc>
      </w:tr>
    </w:tbl>
    <w:p>
      <w:pPr>
        <w:pStyle w:val="Heading1"/>
        <w:keepNext/>
        <w:pageBreakBefore/>
      </w:pPr>
      <w:r>
        <w:rPr>
          <w:rFonts w:ascii="Arial" w:cs="Arial" w:eastAsia="Arial" w:hAnsi="Arial"/>
          <w:b/>
          <w:bCs/>
          <w:i w:val="false"/>
          <w:iCs w:val="false"/>
          <w:color w:val="174A7E"/>
          <w:sz w:val="28"/>
          <w:szCs w:val="28"/>
        </w:rPr>
        <w:t xml:space="preserve">6. Biên bản chạy thử nghiệm thu</w:t>
      </w:r>
    </w:p>
    <w:p>
      <w:pPr>
        <w:keepNext w:val="false"/>
        <w:spacing w:after="100" w:line="260"/>
        <w:jc w:val="left"/>
      </w:pPr>
      <w:r>
        <w:rPr>
          <w:rFonts w:ascii="Arial" w:cs="Arial" w:eastAsia="Arial" w:hAnsi="Arial"/>
          <w:b w:val="false"/>
          <w:bCs w:val="false"/>
          <w:i w:val="false"/>
          <w:iCs w:val="false"/>
          <w:color w:val="263238"/>
          <w:sz w:val="20"/>
          <w:szCs w:val="20"/>
        </w:rPr>
        <w:t xml:space="preserve">Sao chép bảng dưới đây cho từng đợt chạy thử. Bằng chứng có thể là ảnh màn hình, tệp xuất hoặc số hiệu chứng từ.</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00"/>
        <w:gridCol w:w="1050"/>
        <w:gridCol w:w="1250"/>
        <w:gridCol w:w="1600"/>
        <w:gridCol w:w="1900"/>
        <w:gridCol w:w="1300"/>
        <w:gridCol w:w="2006"/>
      </w:tblGrid>
      <w:tr>
        <w:trPr>
          <w:tblHeader/>
        </w:trPr>
        <w:tc>
          <w:tcPr>
            <w:tcW w:type="dxa" w:w="10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Ngày thử</w:t>
            </w:r>
          </w:p>
        </w:tc>
        <w:tc>
          <w:tcPr>
            <w:tcW w:type="dxa" w:w="10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Mã tiêu chí</w:t>
            </w:r>
          </w:p>
        </w:tc>
        <w:tc>
          <w:tcPr>
            <w:tcW w:type="dxa" w:w="125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Người thử</w:t>
            </w:r>
          </w:p>
        </w:tc>
        <w:tc>
          <w:tcPr>
            <w:tcW w:type="dxa" w:w="16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Dữ liệu thử</w:t>
            </w:r>
          </w:p>
        </w:tc>
        <w:tc>
          <w:tcPr>
            <w:tcW w:type="dxa" w:w="19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Kết quả thực tế</w:t>
            </w:r>
          </w:p>
        </w:tc>
        <w:tc>
          <w:tcPr>
            <w:tcW w:type="dxa" w:w="13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Đạt/Không đạt</w:t>
            </w:r>
          </w:p>
        </w:tc>
        <w:tc>
          <w:tcPr>
            <w:tcW w:type="dxa" w:w="20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4"/>
                <w:szCs w:val="14"/>
              </w:rPr>
              <w:t xml:space="preserve">Bằng chứng hoặc lỗi</w:t>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r>
        <w:trPr>
          <w:cantSplit/>
        </w:trPr>
        <w:tc>
          <w:tcPr>
            <w:tcW w:type="dxa" w:w="1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__/__/____</w:t>
            </w:r>
          </w:p>
        </w:tc>
        <w:tc>
          <w:tcPr>
            <w:tcW w:type="dxa" w:w="10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25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6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9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13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c>
          <w:tcPr>
            <w:tcW w:type="dxa" w:w="20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4"/>
                <w:szCs w:val="14"/>
              </w:rPr>
              <w:t xml:space="preserve"/>
            </w:r>
          </w:p>
        </w:tc>
      </w:tr>
    </w:tbl>
    <w:p>
      <w:pPr>
        <w:pStyle w:val="Heading1"/>
        <w:keepNext/>
        <w:pageBreakBefore/>
      </w:pPr>
      <w:r>
        <w:rPr>
          <w:rFonts w:ascii="Arial" w:cs="Arial" w:eastAsia="Arial" w:hAnsi="Arial"/>
          <w:b/>
          <w:bCs/>
          <w:i w:val="false"/>
          <w:iCs w:val="false"/>
          <w:color w:val="174A7E"/>
          <w:sz w:val="28"/>
          <w:szCs w:val="28"/>
        </w:rPr>
        <w:t xml:space="preserve">7. Tổng hợp quyết định và xác nhận</w:t>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10106"/>
      </w:tblGrid>
      <w:tr>
        <w:tc>
          <w:tcPr>
            <w:tcW w:type="dxa" w:w="10106"/>
            <w:tcBorders>
              <w:top w:val="single" w:color="CFD7DF" w:sz="2"/>
              <w:left w:val="single" w:color="CFD7DF" w:sz="2"/>
              <w:bottom w:val="single" w:color="CFD7DF" w:sz="2"/>
              <w:right w:val="single" w:color="CFD7DF" w:sz="2"/>
            </w:tcBorders>
            <w:shd w:fill="FFF7DB" w:val="clear"/>
            <w:tcMar>
              <w:top w:type="dxa" w:w="90"/>
              <w:left w:type="dxa" w:w="110"/>
              <w:bottom w:type="dxa" w:w="90"/>
              <w:right w:type="dxa" w:w="110"/>
            </w:tcMar>
            <w:vAlign w:val="top"/>
          </w:tcPr>
          <w:p>
            <w:pPr>
              <w:keepNext w:val="false"/>
              <w:spacing w:after="50"/>
              <w:jc w:val="left"/>
            </w:pPr>
            <w:r>
              <w:rPr>
                <w:rFonts w:ascii="Arial" w:cs="Arial" w:eastAsia="Arial" w:hAnsi="Arial"/>
                <w:b/>
                <w:bCs/>
                <w:i w:val="false"/>
                <w:iCs w:val="false"/>
                <w:color w:val="174A7E"/>
                <w:sz w:val="20"/>
                <w:szCs w:val="20"/>
              </w:rPr>
              <w:t xml:space="preserve">Điều kiện hoàn tất khảo sát</w:t>
            </w:r>
          </w:p>
          <w:p>
            <w:pPr>
              <w:keepNext w:val="false"/>
              <w:spacing w:after="0" w:line="250"/>
              <w:jc w:val="left"/>
            </w:pPr>
            <w:r>
              <w:rPr>
                <w:rFonts w:ascii="Arial" w:cs="Arial" w:eastAsia="Arial" w:hAnsi="Arial"/>
                <w:b w:val="false"/>
                <w:bCs w:val="false"/>
                <w:i w:val="false"/>
                <w:iCs w:val="false"/>
                <w:color w:val="263238"/>
                <w:sz w:val="20"/>
                <w:szCs w:val="20"/>
              </w:rPr>
              <w:t xml:space="preserve">Tất cả câu hỏi trọng yếu đã có kết luận; dữ liệu cần cung cấp đã có người phụ trách và hạn hoàn thành; tiêu chí bị loại hoặc sửa đều có lý do.</w:t>
            </w:r>
          </w:p>
        </w:tc>
      </w:tr>
    </w:tbl>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3000"/>
        <w:gridCol w:w="7106"/>
      </w:tblGrid>
      <w:tr>
        <w:trPr>
          <w:tblHeader/>
        </w:trPr>
        <w:tc>
          <w:tcPr>
            <w:tcW w:type="dxa" w:w="3000"/>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Nội dung</w:t>
            </w:r>
          </w:p>
        </w:tc>
        <w:tc>
          <w:tcPr>
            <w:tcW w:type="dxa" w:w="7106"/>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Kết quả</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Phạm vi được chấp thuận</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Nội dung cần bổ sung</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Dữ liệu Silver Sea sẽ cung cấp</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Hạn hoàn thành</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Đầu mối Silver Sea</w:t>
            </w:r>
          </w:p>
        </w:tc>
        <w:tc>
          <w:tcPr>
            <w:tcW w:type="dxa" w:w="7106"/>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r>
        <w:trPr>
          <w:cantSplit/>
        </w:trPr>
        <w:tc>
          <w:tcPr>
            <w:tcW w:type="dxa" w:w="3000"/>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Đầu mối TingTing</w:t>
            </w:r>
          </w:p>
        </w:tc>
        <w:tc>
          <w:tcPr>
            <w:tcW w:type="dxa" w:w="7106"/>
            <w:tcBorders>
              <w:top w:val="single" w:color="CFD7DF" w:sz="2"/>
              <w:left w:val="single" w:color="CFD7DF" w:sz="2"/>
              <w:bottom w:val="single" w:color="CFD7DF" w:sz="2"/>
              <w:right w:val="single" w:color="CFD7DF" w:sz="2"/>
            </w:tcBorders>
            <w:shd w:fill="FFFFFF" w:val="clear"/>
            <w:tcMar>
              <w:top w:type="dxa" w:w="90"/>
              <w:left w:type="dxa" w:w="110"/>
              <w:bottom w:type="dxa" w:w="90"/>
              <w:right w:type="dxa" w:w="110"/>
            </w:tcMar>
            <w:vAlign w:val="top"/>
          </w:tcPr>
          <w:p>
            <w:pPr>
              <w:keepNext w:val="false"/>
              <w:spacing w:after="40" w:line="220"/>
              <w:jc w:val="left"/>
            </w:pPr>
            <w:r>
              <w:rPr>
                <w:rFonts w:ascii="Arial" w:cs="Arial" w:eastAsia="Arial" w:hAnsi="Arial"/>
                <w:b w:val="false"/>
                <w:bCs w:val="false"/>
                <w:i w:val="false"/>
                <w:iCs w:val="false"/>
                <w:color w:val="263238"/>
                <w:sz w:val="17"/>
                <w:szCs w:val="17"/>
              </w:rPr>
              <w:t xml:space="preserve">........................................................................................................................................</w:t>
            </w:r>
          </w:p>
        </w:tc>
      </w:tr>
    </w:tbl>
    <w:p>
      <w:pPr>
        <w:keepNext w:val="false"/>
        <w:spacing w:after="80" w:before="260"/>
        <w:jc w:val="left"/>
      </w:pPr>
      <w:r>
        <w:rPr>
          <w:rFonts w:ascii="Arial" w:cs="Arial" w:eastAsia="Arial" w:hAnsi="Arial"/>
          <w:b w:val="false"/>
          <w:bCs w:val="false"/>
          <w:i w:val="false"/>
          <w:iCs w:val="false"/>
          <w:color w:val="263238"/>
          <w:sz w:val="20"/>
          <w:szCs w:val="20"/>
        </w:rPr>
        <w:t xml:space="preserve"/>
      </w:r>
    </w:p>
    <w:tbl>
      <w:tblPr>
        <w:tblW w:type="dxa" w:w="10106"/>
        <w:tblBorders>
          <w:top w:val="single" w:color="CFD7DF" w:sz="2"/>
          <w:left w:val="single" w:color="CFD7DF" w:sz="2"/>
          <w:bottom w:val="single" w:color="CFD7DF" w:sz="2"/>
          <w:right w:val="single" w:color="CFD7DF" w:sz="2"/>
          <w:insideH w:val="single" w:color="CFD7DF" w:sz="2"/>
          <w:insideV w:val="single" w:color="CFD7DF" w:sz="2"/>
        </w:tblBorders>
      </w:tblPr>
      <w:tblGrid>
        <w:gridCol w:w="5053"/>
        <w:gridCol w:w="5053"/>
      </w:tblGrid>
      <w:tr>
        <w:trPr>
          <w:tblHeader/>
        </w:trPr>
        <w:tc>
          <w:tcPr>
            <w:tcW w:type="dxa" w:w="5053"/>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ĐẠI DIỆN SILVER SEA</w:t>
            </w:r>
          </w:p>
        </w:tc>
        <w:tc>
          <w:tcPr>
            <w:tcW w:type="dxa" w:w="5053"/>
            <w:tcBorders>
              <w:top w:val="single" w:color="CFD7DF" w:sz="2"/>
              <w:left w:val="single" w:color="CFD7DF" w:sz="2"/>
              <w:bottom w:val="single" w:color="CFD7DF" w:sz="2"/>
              <w:right w:val="single" w:color="CFD7DF" w:sz="2"/>
            </w:tcBorders>
            <w:shd w:fill="174A7E" w:val="clear"/>
            <w:tcMar>
              <w:top w:type="dxa" w:w="90"/>
              <w:left w:type="dxa" w:w="110"/>
              <w:bottom w:type="dxa" w:w="90"/>
              <w:right w:type="dxa" w:w="110"/>
            </w:tcMar>
            <w:vAlign w:val="center"/>
          </w:tcPr>
          <w:p>
            <w:pPr>
              <w:keepNext w:val="false"/>
              <w:spacing w:after="40" w:line="220"/>
              <w:jc w:val="left"/>
            </w:pPr>
            <w:r>
              <w:rPr>
                <w:rFonts w:ascii="Arial" w:cs="Arial" w:eastAsia="Arial" w:hAnsi="Arial"/>
                <w:b/>
                <w:bCs/>
                <w:i w:val="false"/>
                <w:iCs w:val="false"/>
                <w:color w:val="FFFFFF"/>
                <w:sz w:val="17"/>
                <w:szCs w:val="17"/>
              </w:rPr>
              <w:t xml:space="preserve">ĐẠI DIỆN TINGTING</w:t>
            </w:r>
          </w:p>
        </w:tc>
      </w:tr>
      <w:tr>
        <w:trPr>
          <w:cantSplit/>
        </w:trPr>
        <w:tc>
          <w:tcPr>
            <w:tcW w:type="dxa" w:w="5053"/>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100" w:line="260"/>
              <w:jc w:val="left"/>
            </w:pPr>
            <w:r>
              <w:rPr>
                <w:rFonts w:ascii="Arial" w:cs="Arial" w:eastAsia="Arial" w:hAnsi="Arial"/>
                <w:b w:val="false"/>
                <w:bCs w:val="false"/>
                <w:i w:val="false"/>
                <w:iCs w:val="false"/>
                <w:color w:val="263238"/>
                <w:sz w:val="20"/>
                <w:szCs w:val="20"/>
              </w:rPr>
              <w:t xml:space="preserve">Họ tên: ........................................................</w:t>
            </w:r>
          </w:p>
          <w:p>
            <w:pPr>
              <w:keepNext w:val="false"/>
              <w:spacing w:after="100" w:line="260"/>
              <w:jc w:val="left"/>
            </w:pPr>
            <w:r>
              <w:rPr>
                <w:rFonts w:ascii="Arial" w:cs="Arial" w:eastAsia="Arial" w:hAnsi="Arial"/>
                <w:b w:val="false"/>
                <w:bCs w:val="false"/>
                <w:i w:val="false"/>
                <w:iCs w:val="false"/>
                <w:color w:val="263238"/>
                <w:sz w:val="20"/>
                <w:szCs w:val="20"/>
              </w:rPr>
              <w:t xml:space="preserve">Chức vụ: ......................................................</w:t>
            </w:r>
          </w:p>
          <w:p>
            <w:pPr>
              <w:keepNext w:val="false"/>
              <w:spacing w:after="100" w:line="260"/>
              <w:jc w:val="left"/>
            </w:pPr>
            <w:r>
              <w:rPr>
                <w:rFonts w:ascii="Arial" w:cs="Arial" w:eastAsia="Arial" w:hAnsi="Arial"/>
                <w:b w:val="false"/>
                <w:bCs w:val="false"/>
                <w:i w:val="false"/>
                <w:iCs w:val="false"/>
                <w:color w:val="263238"/>
                <w:sz w:val="20"/>
                <w:szCs w:val="20"/>
              </w:rPr>
              <w:t xml:space="preserve">Ngày: ........../........../............</w:t>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center"/>
            </w:pPr>
            <w:r>
              <w:rPr>
                <w:rFonts w:ascii="Arial" w:cs="Arial" w:eastAsia="Arial" w:hAnsi="Arial"/>
                <w:b w:val="false"/>
                <w:bCs w:val="false"/>
                <w:i/>
                <w:iCs/>
                <w:color w:val="263238"/>
                <w:sz w:val="20"/>
                <w:szCs w:val="20"/>
              </w:rPr>
              <w:t xml:space="preserve">Ký và ghi rõ họ tên</w:t>
            </w:r>
          </w:p>
        </w:tc>
        <w:tc>
          <w:tcPr>
            <w:tcW w:type="dxa" w:w="5053"/>
            <w:tcBorders>
              <w:top w:val="single" w:color="CFD7DF" w:sz="2"/>
              <w:left w:val="single" w:color="CFD7DF" w:sz="2"/>
              <w:bottom w:val="single" w:color="CFD7DF" w:sz="2"/>
              <w:right w:val="single" w:color="CFD7DF" w:sz="2"/>
            </w:tcBorders>
            <w:shd w:fill="F3F5F7" w:val="clear"/>
            <w:tcMar>
              <w:top w:type="dxa" w:w="90"/>
              <w:left w:type="dxa" w:w="110"/>
              <w:bottom w:type="dxa" w:w="90"/>
              <w:right w:type="dxa" w:w="110"/>
            </w:tcMar>
            <w:vAlign w:val="top"/>
          </w:tcPr>
          <w:p>
            <w:pPr>
              <w:keepNext w:val="false"/>
              <w:spacing w:after="100" w:line="260"/>
              <w:jc w:val="left"/>
            </w:pPr>
            <w:r>
              <w:rPr>
                <w:rFonts w:ascii="Arial" w:cs="Arial" w:eastAsia="Arial" w:hAnsi="Arial"/>
                <w:b w:val="false"/>
                <w:bCs w:val="false"/>
                <w:i w:val="false"/>
                <w:iCs w:val="false"/>
                <w:color w:val="263238"/>
                <w:sz w:val="20"/>
                <w:szCs w:val="20"/>
              </w:rPr>
              <w:t xml:space="preserve">Họ tên: ........................................................</w:t>
            </w:r>
          </w:p>
          <w:p>
            <w:pPr>
              <w:keepNext w:val="false"/>
              <w:spacing w:after="100" w:line="260"/>
              <w:jc w:val="left"/>
            </w:pPr>
            <w:r>
              <w:rPr>
                <w:rFonts w:ascii="Arial" w:cs="Arial" w:eastAsia="Arial" w:hAnsi="Arial"/>
                <w:b w:val="false"/>
                <w:bCs w:val="false"/>
                <w:i w:val="false"/>
                <w:iCs w:val="false"/>
                <w:color w:val="263238"/>
                <w:sz w:val="20"/>
                <w:szCs w:val="20"/>
              </w:rPr>
              <w:t xml:space="preserve">Chức vụ: ......................................................</w:t>
            </w:r>
          </w:p>
          <w:p>
            <w:pPr>
              <w:keepNext w:val="false"/>
              <w:spacing w:after="100" w:line="260"/>
              <w:jc w:val="left"/>
            </w:pPr>
            <w:r>
              <w:rPr>
                <w:rFonts w:ascii="Arial" w:cs="Arial" w:eastAsia="Arial" w:hAnsi="Arial"/>
                <w:b w:val="false"/>
                <w:bCs w:val="false"/>
                <w:i w:val="false"/>
                <w:iCs w:val="false"/>
                <w:color w:val="263238"/>
                <w:sz w:val="20"/>
                <w:szCs w:val="20"/>
              </w:rPr>
              <w:t xml:space="preserve">Ngày: ........../........../............</w:t>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left"/>
            </w:pPr>
            <w:r>
              <w:rPr>
                <w:rFonts w:ascii="Arial" w:cs="Arial" w:eastAsia="Arial" w:hAnsi="Arial"/>
                <w:b w:val="false"/>
                <w:bCs w:val="false"/>
                <w:i w:val="false"/>
                <w:iCs w:val="false"/>
                <w:color w:val="263238"/>
                <w:sz w:val="20"/>
                <w:szCs w:val="20"/>
              </w:rPr>
              <w:t xml:space="preserve"/>
            </w:r>
          </w:p>
          <w:p>
            <w:pPr>
              <w:keepNext w:val="false"/>
              <w:spacing w:after="100" w:line="260"/>
              <w:jc w:val="center"/>
            </w:pPr>
            <w:r>
              <w:rPr>
                <w:rFonts w:ascii="Arial" w:cs="Arial" w:eastAsia="Arial" w:hAnsi="Arial"/>
                <w:b w:val="false"/>
                <w:bCs w:val="false"/>
                <w:i/>
                <w:iCs/>
                <w:color w:val="263238"/>
                <w:sz w:val="20"/>
                <w:szCs w:val="20"/>
              </w:rPr>
              <w:t xml:space="preserve">Ký và ghi rõ họ tên</w:t>
            </w:r>
          </w:p>
        </w:tc>
      </w:tr>
    </w:tbl>
    <w:sectPr>
      <w:headerReference w:type="default" r:id="rId7"/>
      <w:footerReference w:type="default" r:id="rId8"/>
      <w:pgSz w:w="11906" w:h="16838" w:orient="portrait"/>
      <w:pgMar w:top="900" w:right="900" w:bottom="850" w:left="900" w:header="350" w:footer="3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i w:val="false"/>
        <w:iCs w:val="false"/>
        <w:color w:val="5B6573"/>
        <w:sz w:val="15"/>
        <w:szCs w:val="15"/>
      </w:rPr>
      <w:t xml:space="preserve">Trang </w:t>
    </w:r>
    <w:r>
      <w:rPr>
        <w:rFonts w:ascii="Arial" w:cs="Arial" w:eastAsia="Arial" w:hAnsi="Arial"/>
        <w:color w:val="5B6573"/>
        <w:sz w:val="15"/>
        <w:szCs w:val="15"/>
      </w:rPr>
      <w:fldChar w:fldCharType="begin"/>
      <w:instrText xml:space="preserve">PAGE</w:instrText>
      <w:fldChar w:fldCharType="separate"/>
      <w:fldChar w:fldCharType="end"/>
    </w:r>
    <w:r>
      <w:rPr>
        <w:rFonts w:ascii="Arial" w:cs="Arial" w:eastAsia="Arial" w:hAnsi="Arial"/>
        <w:b w:val="false"/>
        <w:bCs w:val="false"/>
        <w:i w:val="false"/>
        <w:iCs w:val="false"/>
        <w:color w:val="5B6573"/>
        <w:sz w:val="15"/>
        <w:szCs w:val="15"/>
      </w:rPr>
      <w:t xml:space="preserve">  |  Phân hệ 2 — Bản làm việc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75B5" w:sz="4" w:space="4"/>
      </w:pBdr>
    </w:pPr>
    <w:r>
      <w:rPr>
        <w:rFonts w:ascii="Arial" w:cs="Arial" w:eastAsia="Arial" w:hAnsi="Arial"/>
        <w:b w:val="false"/>
        <w:bCs w:val="false"/>
        <w:i w:val="false"/>
        <w:iCs w:val="false"/>
        <w:color w:val="5B6573"/>
        <w:sz w:val="15"/>
        <w:szCs w:val="15"/>
      </w:rPr>
      <w:t xml:space="preserve">TingTing  |  Silver Sea  |  Phiếu xác nhận yêu cầu Phân hệ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238"/>
        <w:sz w:val="20"/>
        <w:szCs w:val="20"/>
      </w:rPr>
    </w:rPrDefault>
    <w:pPrDefault>
      <w:pPr>
        <w:spacing w:after="100"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75B5" w:sz="8" w:space="5"/>
      </w:pBdr>
      <w:spacing w:after="120" w:before="180"/>
      <w:outlineLvl w:val="0"/>
    </w:pPr>
    <w:rPr>
      <w:rFonts w:ascii="Arial" w:cs="Arial" w:eastAsia="Arial" w:hAnsi="Arial"/>
      <w:b/>
      <w:bCs/>
      <w:color w:val="174A7E"/>
      <w:sz w:val="28"/>
      <w:szCs w:val="28"/>
    </w:rPr>
  </w:style>
  <w:style w:type="paragraph" w:styleId="Heading2">
    <w:name w:val="Heading 2"/>
    <w:basedOn w:val="Normal"/>
    <w:next w:val="Normal"/>
    <w:qFormat/>
    <w:pPr>
      <w:spacing w:after="90" w:before="180"/>
      <w:outlineLvl w:val="1"/>
    </w:pPr>
    <w:rPr>
      <w:rFonts w:ascii="Arial" w:cs="Arial" w:eastAsia="Arial" w:hAnsi="Arial"/>
      <w:b/>
      <w:bCs/>
      <w:color w:val="174A7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Silver Sea — Phiếu khảo sát và xác nhận yêu cầu Phân hệ 2</dc:title>
  <dc:creator>TingTing</dc:creator>
  <dc:description>Tài liệu khảo sát nghiệp vụ và tiêu chí nghiệm thu bằng tiếng Việt</dc:description>
  <cp:lastModifiedBy>Un-named</cp:lastModifiedBy>
  <cp:revision>1</cp:revision>
  <dcterms:created xsi:type="dcterms:W3CDTF">2026-07-21T11:53:59.798Z</dcterms:created>
  <dcterms:modified xsi:type="dcterms:W3CDTF">2026-07-21T11:53:59.798Z</dcterms:modified>
</cp:coreProperties>
</file>

<file path=docProps/custom.xml><?xml version="1.0" encoding="utf-8"?>
<Properties xmlns="http://schemas.openxmlformats.org/officeDocument/2006/custom-properties" xmlns:vt="http://schemas.openxmlformats.org/officeDocument/2006/docPropsVTypes"/>
</file>