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4"/>
          <w:szCs w:val="24"/>
        </w:rPr>
        <w:t xml:space="preserve">PHÂN HỆ 3 — CHĂM SÓC KHÁCH HÀNG (CUS)</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SilverSea Logistics</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Khảo sát, thống nhất phạm vi và xác nhận tiêu chí nghiệm thu cho phân hệ CUS</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2.0</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làm việc với khách hàng</w:t>
            </w:r>
          </w:p>
        </w:tc>
      </w:tr>
    </w:tbl>
    <w:p>
      <w:pPr>
        <w:keepNext w:val="false"/>
        <w:spacing w:before="9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CUS. Nội dung trong cột “Đề xuất của TingTing” là phương án để thảo luận, chỉ trở thành yêu cầu chính thức sau khi khách hàng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một lựa chọn: “Chấp thuận”, “Cần điều chỉnh” hoặc “Không áp dụng”; sau đó ghi rõ nội dung điều chỉnh và người chịu trách nhiệm cung cấp dữ liệu.</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nghiệm thu phải có dữ liệu thử, người thực hiện, kết quả mong đợi và bằng chứng. Những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 dùng trong tài liệu</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CUS</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Bộ phận hoặc nhân viên chăm sóc khách hàng. Đây là ký hiệu duy nhất được giữ theo yêu cầu của khách hàng.</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Yêu cầu đặt chỗ</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Yêu cầu bố trí dịch vụ vận chuyển cho một lô hàng.</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Vận đơn</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Chứng từ vận chuyển xác nhận thông tin lô hàng và các bên liên quan.</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Công-te-nơ</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Đơn vị chứa hàng được nhận diện bằng mã số riêng.</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Giấy báo nợ</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Tài liệu tổng hợp các khoản khách hàng cần thanh toán trong một lô hoặc một kỳ.</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chi hộ</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doanh nghiệp thanh toán thay khách hàng và thu lại theo chứng từ.</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Cổng thông tin khách hàng</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Khu vực trực tuyến để khách hàng xem tiến độ, chứng từ, giấy báo nợ và phản hồi.</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700"/>
        <w:gridCol w:w="45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Mục</w:t>
            </w:r>
          </w:p>
        </w:tc>
        <w:tc>
          <w:tcPr>
            <w:tcW w:type="dxa" w:w="4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4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3.1</w:t>
            </w:r>
          </w:p>
        </w:tc>
        <w:tc>
          <w:tcPr>
            <w:tcW w:type="dxa" w:w="4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Tiếp nhận yêu cầu đặt chỗ và tạo hồ sơ lô hàng</w:t>
            </w:r>
          </w:p>
        </w:tc>
        <w:tc>
          <w:tcPr>
            <w:tcW w:type="dxa" w:w="4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trường bắt buộc, quy tắc mã lô, quyền tạo hoặc sửa và thời điểm được chuyển bước.</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3.2</w:t>
            </w:r>
          </w:p>
        </w:tc>
        <w:tc>
          <w:tcPr>
            <w:tcW w:type="dxa" w:w="4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Kiểm tra chứng từ và số liệu lô hàng</w:t>
            </w:r>
          </w:p>
        </w:tc>
        <w:tc>
          <w:tcPr>
            <w:tcW w:type="dxa" w:w="4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cách kiểm tra vận đơn, công-te-nơ, tờ khai, chứng từ hết hạn và các trường hợp ngoại lệ.</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3.3</w:t>
            </w:r>
          </w:p>
        </w:tc>
        <w:tc>
          <w:tcPr>
            <w:tcW w:type="dxa" w:w="4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Thông báo tiến độ lô hàng cho khách hàng</w:t>
            </w:r>
          </w:p>
        </w:tc>
        <w:tc>
          <w:tcPr>
            <w:tcW w:type="dxa" w:w="4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các mốc tiến độ, người nhận, kênh gửi, quyền xem và cách xử lý khi gửi thất bại.</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3.4</w:t>
            </w:r>
          </w:p>
        </w:tc>
        <w:tc>
          <w:tcPr>
            <w:tcW w:type="dxa" w:w="4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Xác nhận giao hàng và trả hoặc rút công-te-nơ</w:t>
            </w:r>
          </w:p>
        </w:tc>
        <w:tc>
          <w:tcPr>
            <w:tcW w:type="dxa" w:w="4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các mốc thời gian, người xác nhận, giao một phần và cách tính thời gian lưu bãi.</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3.5</w:t>
            </w:r>
          </w:p>
        </w:tc>
        <w:tc>
          <w:tcPr>
            <w:tcW w:type="dxa" w:w="4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Lập giấy báo nợ gửi khách hàng</w:t>
            </w:r>
          </w:p>
        </w:tc>
        <w:tc>
          <w:tcPr>
            <w:tcW w:type="dxa" w:w="4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kỳ lập, nhóm khoản thu, cách tính thuế, mẫu tài liệu và điều kiện phát hành.</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3.6</w:t>
            </w:r>
          </w:p>
        </w:tc>
        <w:tc>
          <w:tcPr>
            <w:tcW w:type="dxa" w:w="4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Theo dõi xác nhận và thanh toán giấy báo nợ</w:t>
            </w:r>
          </w:p>
        </w:tc>
        <w:tc>
          <w:tcPr>
            <w:tcW w:type="dxa" w:w="4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trạng thái, quyền xác nhận, thanh toán một phần, nhắc hạn và quy trình điều chỉnh.</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3.7</w:t>
            </w:r>
          </w:p>
        </w:tc>
        <w:tc>
          <w:tcPr>
            <w:tcW w:type="dxa" w:w="4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Đối chiếu hóa đơn và chứng từ khoản chi hộ</w:t>
            </w:r>
          </w:p>
        </w:tc>
        <w:tc>
          <w:tcPr>
            <w:tcW w:type="dxa" w:w="4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Chốt loại chi hộ, chứng từ bắt buộc, cách đối chiếu, xử lý chênh lệch và duyệt lại.</w:t>
            </w:r>
          </w:p>
        </w:tc>
      </w:tr>
    </w:tbl>
    <w:p>
      <w:pPr>
        <w:keepNext w:val="false"/>
        <w:spacing w:after="100" w:before="180"/>
        <w:jc w:val="left"/>
      </w:pPr>
      <w:r>
        <w:rPr>
          <w:rFonts w:ascii="Arial" w:cs="Arial" w:eastAsia="Arial" w:hAnsi="Arial"/>
          <w:b w:val="false"/>
          <w:bCs w:val="false"/>
          <w:i w:val="false"/>
          <w:iCs w:val="false"/>
          <w:color w:val="263238"/>
          <w:sz w:val="20"/>
          <w:szCs w:val="20"/>
        </w:rPr>
        <w:t xml:space="preserve">Ngoài bảy nhóm nghiệp vụ trên, tài liệu còn có câu hỏi dùng chung, bộ tiêu chí nghiệm thu toàn hệ thống và phần ký xác nhận.</w:t>
      </w:r>
    </w:p>
    <w:p>
      <w:pPr>
        <w:pStyle w:val="Heading1"/>
        <w:keepNext/>
        <w:pageBreakBefore/>
      </w:pPr>
      <w:r>
        <w:rPr>
          <w:rFonts w:ascii="Arial" w:cs="Arial" w:eastAsia="Arial" w:hAnsi="Arial"/>
          <w:b/>
          <w:bCs/>
          <w:i w:val="false"/>
          <w:iCs w:val="false"/>
          <w:color w:val="174A7E"/>
          <w:sz w:val="28"/>
          <w:szCs w:val="28"/>
        </w:rPr>
        <w:t xml:space="preserve">3.1 Tiếp nhận yêu cầu đặt chỗ và tạo hồ sơ lô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CUS cần tạo một hồ sơ lô hàng thống nhất, đủ dữ liệu để các bộ phận vận tải, giao nhận và kế toán cùng sử dụng.</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Những thông tin nào bắt buộc ngay khi tạo hồ sơ?</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Đề xuất bắt buộc: khách hàng, số vận đơn hoặc mã tham chiếu, ngày giao dự kiến, điểm nhận và điểm giao. Số công-te-nơ, số niêm phong và tờ khai có thể bổ sung trước khi điều xe.</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Một vận đơn có thể gồm bao nhiêu công-te-nơ?</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một vận đơn có một hoặc nhiều công-te-nơ; mỗi công-te-nơ có thông tin và chứng từ riêng.</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Tờ khai hải quan được quản lý theo lô hay theo công-te-nơ?</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Mặc định quản lý theo công-te-nơ; cho phép một tờ khai dùng cho nhiều công-te-nơ khi người có thẩm quyền xác nhận.</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Ai được tạo và sửa hồ sơ lô hàng?</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Nhân viên CUS tạo và sửa; khách hàng có thể gửi yêu cầu qua cổng thông tin; nhân viên giao nhận chỉ bổ sung dữ liệu thuộc phần việc được giao.</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Quy tắc tạo mã lô cần như thế nào?</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Mã tự sinh, duy nhất, dễ tìm kiếm; đề xuất gồm mã khách hàng, ngày và số thứ tự.</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Chứng từ nào cần đính kèm khi tạo lô?</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đính kèm yêu cầu đặt chỗ, vận đơn và lệnh giao hàng; xác định rõ chứng từ bắt buộc trước từng mốc xử lý.</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CUS-01-01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lô với dữ liệu tối thiểu hợp lệ</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Nhập đủ trường bắt buộc và lưu.</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Hệ thống sinh mã lô duy nhất, trạng thái “Đang xử lý”, lưu đúng người tạo và thời điểm tạo.</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CUS-01-02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nháp khi chưa có số công-te-nơ</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Nhập thông tin khách hàng và vận đơn, chưa nhập số công-te-nơ.</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Cho phép lưu nháp; nêu rõ dữ liệu còn thiếu và chưa cho chuyển sang bước điều xe.</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CUS-01-03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vận đơn có nhiều công-te-nơ</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Thêm từ hai công-te-nơ trở lên vào cùng một lô.</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công-te-nơ có dòng riêng, không mất dữ liệu, tìm được lô theo bất kỳ số công-te-nơ nào.</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CUS-01-04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Phát hiện hồ sơ trùng</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lại cùng khách hàng, số vận đơn và ngày giao.</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hồ sơ có khả năng trùng; chỉ cho tiếp tục khi có lý do và quyền phù hợp.</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CUS-01-05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Kiểm soát quyền sửa</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không phụ trách thử sửa hoặc xóa lô.</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Từ chối thao tác; dữ liệu không thay đổi; nhật ký ghi nhận lần thử.</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3.2 Kiểm tra chứng từ và số liệu lô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Nhân viên CUS cần phát hiện sớm sai lệch giữa yêu cầu đặt chỗ, vận đơn, lệnh giao hàng, tờ khai và mã số công-te-nơ.</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kiểm tra mã số công-te-nơ theo tiêu chuẩn quốc tế không?</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Kiểm tra cấu trúc và chữ số kiểm tra theo ISO 6346; thông báo rõ vị trí sai.</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Quy tắc kiểm tra số tờ khai hải quan là gì?</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Kiểm tra trường trống, ký tự không hợp lệ và số trùng; khách hàng cung cấp thêm quy tắc nghiệp vụ thực tế.</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Khi nào cần đối chiếu số vận đơn?</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chiếu khi tải chứng từ lên và trước khi chuyển lô sang bước điều xe.</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Thiếu chứng từ có được tiếp tục xử lý không?</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lưu nháp nhưng chặn mốc nghiệp vụ yêu cầu chứng từ; hiển thị danh sách cần bổ sung.</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Lệnh giao hàng cần lưu những gì?</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Lưu số tham chiếu, ngày hiệu lực, ngày hết hạn và tệp đính kèm nếu có.</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cần nhận dạng dữ liệu tự động từ ảnh?</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thể triển khai sau khi quy tắc kiểm tra và mẫu chứng từ đã được thống nhất; người dùng luôn phải xác nhận kết quả.</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CUS-02-01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Bộ chứng từ hợp lệ</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Nhập vận đơn, công-te-nơ, tờ khai và lệnh giao hàng khớp nhau.</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“Đã kiểm tra”; cho phép chuyển sang bước tiếp theo.</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CUS-02-02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Mã số công-te-nơ không hợp lệ</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Nhập sai cấu trúc hoặc chữ số kiểm tra.</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bằng tiếng Việt, chỉ rõ dữ liệu sai và không cho xác nhận chứng từ.</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CUS-02-03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Tờ khai trùng có lý do hợp lệ</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một tờ khai cho nhiều công-te-nơ.</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người có quyền có thể xác nhận ngoại lệ kèm lý do; lưu đầy đủ nhật ký.</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CUS-02-04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Chứng từ hết hiệu lực</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Nhập lệnh giao hàng đã hết hạn.</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và chặn bước điều xe cho đến khi thay chứng từ hoặc duyệt ngoại lệ.</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CUS-02-05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Thay tệp chứng từ</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Tải bản mới thay cho bản cũ.</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Bản mới trở thành bản đang dùng; bản cũ vẫn tra cứu được trong lịch sử.</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3.3 Thông báo tiến độ lô hàng cho khách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Khách hàng cần theo dõi tiến độ và phát sinh của lô hàng trên một kênh thống nhất, giảm trao đổi thủ công.</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Kênh thông báo chính là gì?</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Cổng thông tin khách hàng là kênh chính; thư điện tử là kênh dự phòng. Thông báo trên thiết bị chỉ gửi khi khách hàng đã cho phép.</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Các mốc tiến độ cần công bố?</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Đề xuất: tiếp nhận, đã lấy công-te-nơ, đang vận chuyển, đã giao, chờ xác nhận chi phí, đã lập giấy báo nợ, đã thanh toán.</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Tiến độ được cập nhật tự động hay thủ công?</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Tự động theo trạng thái chuyến; CUS được thêm thông báo thủ công cho đổi lịch hoặc sự cố.</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Khách hàng có cần phản hồi?</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Đề xuất cho phép xác nhận đã nhận thông báo và gửi yêu cầu hỗ trợ; phạm vi trao đổi hai chiều cần chốt.</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hiển thị vị trí xe theo thời gian thực?</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hiển thị khi được phép và trong khoảng thời gian vận chuyển; không hiển thị sau khi hoàn thành.</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Ai nhận thông báo tại phía khách hàng?</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cấu hình người nhận theo loại thông báo và lô hàng; tránh gửi thông tin tài chính cho người không liên quan.</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CUS-03-01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Cập nhật tiến độ thông thường</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chuyển sang “Đang vận chuyển”.</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Cổng khách hàng hiển thị mốc mới; gửi thông báo đúng người nhận; lưu thời điểm gửi và xem.</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CUS-03-02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chưa bật thông báo trên thiết bị</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Phát sinh mốc tiến độ mới.</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Vẫn lưu trên cổng khách hàng; gửi thư điện tử nếu đã đăng ký; không cản trở nghiệp vụ.</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CUS-03-03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Thay đổi lịch giao</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 cập nhật ngày hoặc giờ giao và nêu lý do.</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nhận thông báo nêu rõ lịch cũ, lịch mới và lý do; lịch sử không bị ghi đè.</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CUS-03-04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thông báo thất bại</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Kênh thư điện tử tạm thời không gửi được.</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Hệ thống ghi nhận thất bại, thử lại theo quy định và hiển thị cho CUS biết.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CUS-03-05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Bảo vệ dữ liệu giữa khách hàng</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Tài khoản của khách A mở đường dẫn lô của khách B.</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Từ chối truy cập và không để lộ thông tin lô hàng, vị trí hoặc chứng từ.</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3.4 Xác nhận giao hàng và trả hoặc rút công-te-nơ</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cần lưu chính xác các mốc ngày giờ thực tế để đối soát giao hàng và tính phí lưu bãi.</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Ai xác nhận thời điểm giao hàng?</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Lái xe ghi nhận tại điểm giao; CUS kiểm tra và xác nhận; khách hàng có thể xác nhận đã nhận hàng.</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Cần lưu những mốc thời gian nào?</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Ngày giờ lấy công-te-nơ, giao hàng, rút hàng, trả vỏ và hạn giờ của cảng hoặc hãng tàu.</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Thời gian miễn phí lưu bãi được xác định theo đâu?</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Theo thỏa thuận từng khách hàng, cảng, hãng tàu và loại công-te-nơ; cần cung cấp bảng quy tắc.</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Xử lý giao trễ như thế nào?</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Cảnh báo sớm cho CUS; ghi lý do và người chịu trách nhiệm; phụ phí chỉ tính theo quy tắc đã chốt.</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cần phân biệt điểm giao trung gian và kho cuối?</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nhiều mốc giao có tên rõ ràng; xác định mốc dùng để tính hoàn thành.</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xác nhận thủ công khi thiếu dữ liệu định vị?</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nhưng bắt buộc nêu lý do và chỉ người có quyền mới được xác nhận.</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CUS-04-01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đủ ba bên</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ghi nhận, CUS xác nhận, khách xác nhận đã nhận.</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đầy đủ ba mốc thời gian và người thực hiện; lô chuyển đúng trạng thái.</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CUS-04-02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thủ công khi thiếu mốc lái xe</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báo đã nhận nhưng chưa có mốc từ lái xe.</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cho phép người có quyền xác nhận kèm lý do và chứng cứ; lưu nhật ký.</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CUS-04-03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Giao một phần</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Lô nhiều công-te-nơ nhưng mới giao một phần.</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công-te-nơ đã giao được hoàn tất; lô tổng vẫn hiển thị “Giao một phần”.</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CUS-04-04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Trả vỏ quá hạn</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trả vỏ sau thời gian miễn phí.</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đúng số ngày vượt hạn theo quy tắc đã chốt và cảnh báo khoản phí dự kiến.</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CUS-04-05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Múi giờ và thời điểm biên</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Ghi nhận lúc gần nửa đêm hoặc qua ngày lễ.</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hiển thị thống nhất theo giờ Việt Nam; cách tính ngày tuân theo lịch đã cấu hình.</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3.5 Lập giấy báo nợ gửi khách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và kế toán cần tổng hợp cước vận tải, phí dịch vụ và khoản chi hộ chính xác theo lô hoặc kỳ thanh toán.</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Lập giấy báo nợ theo lô hay theo kỳ?</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Cấu hình theo từng khách hàng; cho phép lập theo lô khi có thỏa thuận riêng.</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Các nhóm khoản thu gồm những gì?</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Tách riêng cước vận tải, phí dịch vụ, khoản chi hộ và khoản điều chỉnh; không gộp làm mất khả năng đối chiếu.</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Mẫu giấy báo nợ có cần riêng theo khách?</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cấu hình biểu trưng, thông tin thanh toán, cột hiển thị và người ký; lưu nguyên mẫu tại thời điểm phát hành.</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Cách thể hiện thuế giá trị gia tăng?</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dòng nêu rõ trước thuế, thuế suất, tiền thuế và tổng sau thuế; khoản không thuộc diện thuế phải có nhãn rõ.</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Khoản chi hộ chưa duyệt có được đưa vào không?</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Không đưa vào bản chính thức; hiển thị danh sách còn chờ để kế toán xử lý.</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Hình thức gửi và xác nhận?</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Gửi trên cổng khách hàng và thư điện tử; lưu bản không chỉnh sửa cùng dấu thời gian gửi.</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CUS-05-01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Lập theo kỳ với đủ khoản thu</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Chọn khách hàng và kỳ có cước, phí dịch vụ, chi hộ đã duyệt.</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hợp đúng từng dòng, thuế và tổng cộng; không trùng hoặc bỏ sót khoản.</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CUS-05-02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Còn khoản chi hộ chưa duyệt</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Trong kỳ có ít nhất một khoản đang chờ.</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và loại khỏi bản chính thức; hiển thị danh sách cần xử lý.</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CUS-05-03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Lập lại cùng phạm vi</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Thử lập lần hai cho cùng khách hàng và kỳ.</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trùng; không phát hành thêm nếu chưa hủy hoặc điều chỉnh bản trước.</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CUS-05-04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bằng không hoặc âm</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Có dòng giảm trừ hoặc điều chỉnh.</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đúng dấu, lý do và căn cứ; tổng cộng tính chính xác đến đơn vị đồng.</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CUS-05-05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Xuất và gửi tài liệu</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Phát hành bản chính thức.</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xuất ra đúng mẫu, không vỡ bảng, đủ số trang; bản gửi và bản lưu có cùng số hiệu, số tiền.</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3.6 Theo dõi xác nhận và thanh toán giấy báo nợ</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và kế toán cần biết giấy báo nợ nào đang chờ xác nhận, đã xác nhận, thanh toán một phần hoặc đã thanh toán đủ.</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Bộ trạng thái cần dùng?</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Đề xuất: Bản nháp, Đã gửi, Chờ xác nhận, Đã xác nhận, Thanh toán một phần, Đã thanh toán, Bị từ chối, Đã hủy.</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Ai được xác nhận?</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Khách hàng xác nhận trên cổng thông tin; CUS chỉ xác nhận thay khi có căn cứ và phải ghi chú.</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Căn cứ ghi nhận thanh toán là gì?</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Kế toán ghi nhận theo chứng từ ngân hàng hoặc phiếu thu; cho phép phân bổ một khoản thu cho nhiều giấy báo nợ.</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Quy tắc nhắc thanh toán?</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Theo hạn thanh toán từng khách hàng; không gửi lặp quá mức; dừng nhắc khi đã thanh toán đủ hoặc đang tranh chấp.</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Khi nào khóa nội dung?</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Khóa sau khi khách xác nhận; mọi thay đổi sau đó phải qua chứng từ điều chỉnh.</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Xử lý thanh toán thừa hoặc nhầm?</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Ghi nhận khoản chưa phân bổ hoặc hoàn trả theo quy trình kế toán; không tự làm mất số dư.</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CUS-06-01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Luồng xác nhận và thanh toán đủ</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xác nhận, kế toán ghi nhận đủ tiền.</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Trạng thái chuyển theo đúng thứ tự; công nợ giảm đúng; giấy báo nợ bị khóa.</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CUS-06-02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một phần</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Ghi nhận số tiền nhỏ hơn tổng phải trả.</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Trạng thái “Thanh toán một phần”; hiển thị số đã thu, còn phải thu và hạn còn lại.</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CUS-06-03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Sửa giấy báo nợ đã xác nhận</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thử sửa số tiền hoặc xóa dòng.</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Từ chối sửa trực tiếp; hướng dẫn lập điều chỉnh; dữ liệu cũ giữ nguyên.</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CUS-06-04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từ chối và nêu lý do</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chọn từ chối một hoặc nhiều dòng.</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lý do theo dòng; thông báo CUS và kế toán; tạm dừng nhắc thanh toán phần đang tranh chấp.</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CUS-06-05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Ghi nhận trùng chứng từ thanh toán</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Nhập lại cùng số tham chiếu và số tiền.</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trùng và ngăn ghi nhận hai lần, trừ khi người có quyền xác nhận ngoại lệ.</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CUS-06-06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thừa</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nhận lớn hơn số còn phải thu.</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làm công nợ âm ngoài ý muốn; phần thừa được ghi nhận rõ để phân bổ hoặc hoàn trả.</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3.7 Đối chiếu hóa đơn và chứng từ khoản chi hộ</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CUS và kế toán cần đối chiếu khoản chi hộ với chứng từ thực tế để thu lại đúng số tiền và có căn cứ giải trình.</w:t>
            </w:r>
          </w:p>
        </w:tc>
      </w:tr>
    </w:tbl>
    <w:p>
      <w:pPr>
        <w:pStyle w:val="Heading2"/>
        <w:keepNext/>
      </w:pPr>
      <w:r>
        <w:rPr>
          <w:rFonts w:ascii="Arial" w:cs="Arial" w:eastAsia="Arial" w:hAnsi="Arial"/>
          <w:b/>
          <w:bCs/>
          <w:i w:val="false"/>
          <w:iCs w:val="false"/>
          <w:color w:val="174A7E"/>
          <w:sz w:val="23"/>
          <w:szCs w:val="23"/>
        </w:rPr>
        <w:t xml:space="preserve">A. Nội dung cần khách hàng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500"/>
        <w:gridCol w:w="3900"/>
        <w:gridCol w:w="30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STT</w:t>
            </w:r>
          </w:p>
        </w:tc>
        <w:tc>
          <w:tcPr>
            <w:tcW w:type="dxa" w:w="2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Câu hỏi</w:t>
            </w:r>
          </w:p>
        </w:tc>
        <w:tc>
          <w:tcPr>
            <w:tcW w:type="dxa" w:w="3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Đề xuất của TingTing</w:t>
            </w:r>
          </w:p>
        </w:tc>
        <w:tc>
          <w:tcPr>
            <w:tcW w:type="dxa" w:w="30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Ghi nhận của khách hàng</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1</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Danh mục khoản chi hộ gồm những gì?</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Đề xuất quản lý danh mục có thể cấu hình: nâng, hạ, lưu bãi, phí cảng, cước hãng tàu, hải quan và các khoản khác.</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Khoản nào bắt buộc có hóa đơn?</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hạng mục có quy tắc chứng từ riêng; trường hợp không có hóa đơn phải có chứng từ thay thế hoặc ghi chú.</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3</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Thông tin nào bắt buộc khi đối chiếu?</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Số tiền, ngày chứng từ, đơn vị phát hành, số hóa đơn hoặc số tờ khai, công-te-nơ, lô hàng và tệp chứng từ.</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4</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Có dùng bảng giá để gợi ý?</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Gợi ý theo cảng, hạng mục và ngày hiệu lực; người sửa đơn giá phải nêu lý do.</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w:t>
            </w:r>
          </w:p>
        </w:tc>
        <w:tc>
          <w:tcPr>
            <w:tcW w:type="dxa" w:w="2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Xử lý chênh lệch như thế nào?</w:t>
            </w:r>
          </w:p>
        </w:tc>
        <w:tc>
          <w:tcPr>
            <w:tcW w:type="dxa" w:w="3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sửa trước khi duyệt hoặc lập điều chỉnh ở kỳ sau; không sửa âm thầm sau khi đã phát hành.</w:t>
            </w:r>
          </w:p>
        </w:tc>
        <w:tc>
          <w:tcPr>
            <w:tcW w:type="dxa" w:w="30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6</w:t>
            </w:r>
          </w:p>
        </w:tc>
        <w:tc>
          <w:tcPr>
            <w:tcW w:type="dxa" w:w="2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soát theo lô hay theo kỳ?</w:t>
            </w:r>
          </w:p>
        </w:tc>
        <w:tc>
          <w:tcPr>
            <w:tcW w:type="dxa" w:w="3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chiếu từng khoản theo lô; cuối kỳ có báo cáo tổng hợp theo khách hàng, cảng và hạng mục.</w:t>
            </w:r>
          </w:p>
        </w:tc>
        <w:tc>
          <w:tcPr>
            <w:tcW w:type="dxa" w:w="30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p>
      <w:pPr>
        <w:keepNext w:val="false"/>
        <w:spacing w:after="100" w:line="260"/>
        <w:jc w:val="left"/>
      </w:pPr>
      <w:r>
        <w:rPr>
          <w:rFonts w:ascii="Arial" w:cs="Arial" w:eastAsia="Arial" w:hAnsi="Arial"/>
          <w:b w:val="false"/>
          <w:bCs w:val="false"/>
          <w:i w:val="false"/>
          <w:iCs w:val="false"/>
          <w:color w:val="263238"/>
          <w:sz w:val="20"/>
          <w:szCs w:val="20"/>
        </w:rPr>
        <w:t xml:space="preserve">Các tiêu chí dưới đây bao quát luồng thông thường, dữ liệu thiếu hoặc sai, ngoại lệ và kiểm soát quyền. Khách hàng có thể bổ sung trường hợp đặc thù.</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150"/>
        <w:gridCol w:w="2200"/>
        <w:gridCol w:w="2550"/>
        <w:gridCol w:w="4206"/>
      </w:tblGrid>
      <w:tr>
        <w:trPr>
          <w:tblHeader/>
        </w:trPr>
        <w:tc>
          <w:tcPr>
            <w:tcW w:type="dxa" w:w="11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Tình huống</w:t>
            </w:r>
          </w:p>
        </w:tc>
        <w:tc>
          <w:tcPr>
            <w:tcW w:type="dxa" w:w="25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Cách thực hiện</w:t>
            </w:r>
          </w:p>
        </w:tc>
        <w:tc>
          <w:tcPr>
            <w:tcW w:type="dxa" w:w="42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quả đạt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CUS-07-01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chi hộ khớp chứng từ</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nhập khớp hóa đơn và bảng giá.</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“Khớp”; cho phép duyệt và đưa vào giấy báo nợ đúng một lần.</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CUS-07-02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Chênh lệch số tiền</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nhập khác số trên chứng từ.</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số chênh lệch; yêu cầu sửa hoặc nêu lý do trước khi duyệt.</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CUS-07-03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Thiếu chứng từ bắt buộc</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thuộc nhóm bắt buộc hóa đơn nhưng chưa đính kèm.</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cho duyệt; nêu rõ tài liệu cần bổ sung.</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CUS-07-04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Chứng từ dùng trùng</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Cùng số hóa đơn được gắn cho hai khoản không liên quan.</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trùng và yêu cầu kiểm tra; không tự động đưa cả hai vào giấy báo nợ.</w:t>
            </w:r>
          </w:p>
        </w:tc>
      </w:tr>
      <w:tr>
        <w:trPr>
          <w:cantSplit/>
        </w:trPr>
        <w:tc>
          <w:tcPr>
            <w:tcW w:type="dxa" w:w="11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CUS-07-05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Đơn giá thay đổi theo ngày hiệu lực</w:t>
            </w:r>
          </w:p>
        </w:tc>
        <w:tc>
          <w:tcPr>
            <w:tcW w:type="dxa" w:w="25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phát sinh nằm sau ngày áp dụng bảng giá mới.</w:t>
            </w:r>
          </w:p>
        </w:tc>
        <w:tc>
          <w:tcPr>
            <w:tcW w:type="dxa" w:w="42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Gợi ý đúng đơn giá tại ngày phát sinh; vẫn lưu giá gốc và lý do nếu người dùng thay đổi.</w:t>
            </w:r>
          </w:p>
        </w:tc>
      </w:tr>
      <w:tr>
        <w:trPr>
          <w:cantSplit/>
        </w:trPr>
        <w:tc>
          <w:tcPr>
            <w:tcW w:type="dxa" w:w="11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CUS-07-06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Từ chối rồi nộp lại</w:t>
            </w:r>
          </w:p>
        </w:tc>
        <w:tc>
          <w:tcPr>
            <w:tcW w:type="dxa" w:w="25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từ chối khoản chi hộ; nhân viên giao nhận sửa và gửi lại.</w:t>
            </w:r>
          </w:p>
        </w:tc>
        <w:tc>
          <w:tcPr>
            <w:tcW w:type="dxa" w:w="42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Giữ lịch sử lần trước; lần nộp lại có trạng thái riêng; chỉ bản được duyệt mới được tính tiền.</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3000"/>
        <w:gridCol w:w="350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35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phân quyền</w:t>
            </w:r>
          </w:p>
        </w:tc>
        <w:tc>
          <w:tcPr>
            <w:tcW w:type="dxa" w:w="3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định rõ quyền của CUS, giao nhận, kế toán, quản lý và người dùng phía khách hàng; áp dụng nguyên tắc chỉ xem đúng dữ liệu cần thiết.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Kênh liên lạc</w:t>
            </w:r>
          </w:p>
        </w:tc>
        <w:tc>
          <w:tcPr>
            <w:tcW w:type="dxa" w:w="3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Cổng thông tin khách hàng là kênh chính; thư điện tử và thông báo trên thiết bị là kênh bổ sung.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w:t>
            </w:r>
          </w:p>
        </w:tc>
        <w:tc>
          <w:tcPr>
            <w:tcW w:type="dxa" w:w="3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cung cấp danh sách cảng, loại phí, bảng giá, tuyến và người chịu trách nhiệm cập nhật.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hệ thống khác</w:t>
            </w:r>
          </w:p>
        </w:tc>
        <w:tc>
          <w:tcPr>
            <w:tcW w:type="dxa" w:w="3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Liệt kê hệ thống định vị, phần mềm kế toán và nguồn dữ liệu cần kết nối; xác định dữ liệu trao đổi và tần suất.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Báo cáo</w:t>
            </w:r>
          </w:p>
        </w:tc>
        <w:tc>
          <w:tcPr>
            <w:tcW w:type="dxa" w:w="3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Ưu tiên: tiến độ lô, khoản chi hộ, giấy báo nợ, công nợ theo thời gian và báo cáo lãi lỗ liên quan.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 sử dụng</w:t>
            </w:r>
          </w:p>
        </w:tc>
        <w:tc>
          <w:tcPr>
            <w:tcW w:type="dxa" w:w="3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Giao diện phải dùng tốt trên máy tính và điện thoại; chốt có cần ứng dụng cài đặt riêng hay không.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thanh toán và hạn mức công nợ</w:t>
            </w:r>
          </w:p>
        </w:tc>
        <w:tc>
          <w:tcPr>
            <w:tcW w:type="dxa" w:w="3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Cấu hình theo từng khách hàng; cảnh báo khi gần đến hạn hoặc vượt hạn mức.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trữ và bảo mật chứng từ</w:t>
            </w:r>
          </w:p>
        </w:tc>
        <w:tc>
          <w:tcPr>
            <w:tcW w:type="dxa" w:w="3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thời hạn lưu, quyền tải xuống, sao lưu, phục hồi và yêu cầu che thông tin nhạy cảm.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9</w:t>
            </w:r>
          </w:p>
        </w:tc>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ngày giờ và ngày nghỉ</w:t>
            </w:r>
          </w:p>
        </w:tc>
        <w:tc>
          <w:tcPr>
            <w:tcW w:type="dxa" w:w="35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thống nhất cách tính hạn vào cuối tuần, ngày lễ và thời điểm sau giờ làm việc.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10</w:t>
            </w:r>
          </w:p>
        </w:tc>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35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thời gian phản hồi, cách tiếp nhận lỗi và tiêu chí hoàn tất khắc phục.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hệ thống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2300"/>
        <w:gridCol w:w="68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Mã</w:t>
            </w:r>
          </w:p>
        </w:tc>
        <w:tc>
          <w:tcPr>
            <w:tcW w:type="dxa" w:w="2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Nhóm kiểm tra</w:t>
            </w:r>
          </w:p>
        </w:tc>
        <w:tc>
          <w:tcPr>
            <w:tcW w:type="dxa" w:w="68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Tiêu chí đạt</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HT-01</w:t>
            </w:r>
          </w:p>
        </w:tc>
        <w:tc>
          <w:tcPr>
            <w:tcW w:type="dxa" w:w="2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Ngôn ngữ</w:t>
            </w:r>
          </w:p>
        </w:tc>
        <w:tc>
          <w:tcPr>
            <w:tcW w:type="dxa" w:w="68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Toàn bộ nhãn, hướng dẫn và thông báo lỗi hiển thị bằng tiếng Việt; chỉ giữ ký hiệu CUS và tên riêng hoặc mã tiêu chuẩn cần thiết.</w:t>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HT-02</w:t>
            </w:r>
          </w:p>
        </w:tc>
        <w:tc>
          <w:tcPr>
            <w:tcW w:type="dxa" w:w="2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quyền</w:t>
            </w:r>
          </w:p>
        </w:tc>
        <w:tc>
          <w:tcPr>
            <w:tcW w:type="dxa" w:w="68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Người dùng chỉ xem và thao tác đúng khách hàng, lô hàng và chức năng được giao; thử truy cập trái quyền phải bị từ chối.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HT-03</w:t>
            </w:r>
          </w:p>
        </w:tc>
        <w:tc>
          <w:tcPr>
            <w:tcW w:type="dxa" w:w="2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Nhật ký</w:t>
            </w:r>
          </w:p>
        </w:tc>
        <w:tc>
          <w:tcPr>
            <w:tcW w:type="dxa" w:w="68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Mọi thao tác tạo, sửa, xác nhận, từ chối, hủy và duyệt ngoại lệ đều ghi người thực hiện, thời điểm, dữ liệu thay đổi và lý do.</w:t>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HT-04</w:t>
            </w:r>
          </w:p>
        </w:tc>
        <w:tc>
          <w:tcPr>
            <w:tcW w:type="dxa" w:w="2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Tính toàn vẹn dữ liệu</w:t>
            </w:r>
          </w:p>
        </w:tc>
        <w:tc>
          <w:tcPr>
            <w:tcW w:type="dxa" w:w="68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Không phát sinh bản ghi trùng ngoài ý muốn; thao tác gửi lại do mạng chập chờn không tạo hai lô, hai khoản thu hoặc hai lần thanh toán.</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HT-05</w:t>
            </w:r>
          </w:p>
        </w:tc>
        <w:tc>
          <w:tcPr>
            <w:tcW w:type="dxa" w:w="2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Tệp đính kèm</w:t>
            </w:r>
          </w:p>
        </w:tc>
        <w:tc>
          <w:tcPr>
            <w:tcW w:type="dxa" w:w="68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Chấp nhận đúng loại và dung lượng đã chốt; cảnh báo tệp lỗi; tải lên lại không làm mất lịch sử; tệp tải xuống mở được.</w:t>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HT-06</w:t>
            </w:r>
          </w:p>
        </w:tc>
        <w:tc>
          <w:tcPr>
            <w:tcW w:type="dxa" w:w="2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Tìm kiếm</w:t>
            </w:r>
          </w:p>
        </w:tc>
        <w:tc>
          <w:tcPr>
            <w:tcW w:type="dxa" w:w="68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Tìm được theo mã lô, vận đơn, số công-te-nơ, khách hàng, khoảng ngày và trạng thái; kết quả đúng phạm vi quyền.</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HT-07</w:t>
            </w:r>
          </w:p>
        </w:tc>
        <w:tc>
          <w:tcPr>
            <w:tcW w:type="dxa" w:w="2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Tiền tệ</w:t>
            </w:r>
          </w:p>
        </w:tc>
        <w:tc>
          <w:tcPr>
            <w:tcW w:type="dxa" w:w="68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Số tiền dùng đồng Việt Nam, không có số lẻ; dấu phân cách và phép cộng trừ đúng; tổng trên màn hình khớp tệp xuất.</w:t>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HT-08</w:t>
            </w:r>
          </w:p>
        </w:tc>
        <w:tc>
          <w:tcPr>
            <w:tcW w:type="dxa" w:w="2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Ngày giờ</w:t>
            </w:r>
          </w:p>
        </w:tc>
        <w:tc>
          <w:tcPr>
            <w:tcW w:type="dxa" w:w="68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Hiển thị thống nhất theo giờ Việt Nam; lưu đúng thứ tự sự kiện; xử lý đúng ngày nghỉ và mốc qua ngày.</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HT-09</w:t>
            </w:r>
          </w:p>
        </w:tc>
        <w:tc>
          <w:tcPr>
            <w:tcW w:type="dxa" w:w="2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Khả năng sử dụng</w:t>
            </w:r>
          </w:p>
        </w:tc>
        <w:tc>
          <w:tcPr>
            <w:tcW w:type="dxa" w:w="68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Các tác vụ chính hoàn thành được trên máy tính và điện thoại mà không che nút, vỡ bảng hoặc mất dữ liệu đã nhập.</w:t>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HT-10</w:t>
            </w:r>
          </w:p>
        </w:tc>
        <w:tc>
          <w:tcPr>
            <w:tcW w:type="dxa" w:w="2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Khôi phục lỗi</w:t>
            </w:r>
          </w:p>
        </w:tc>
        <w:tc>
          <w:tcPr>
            <w:tcW w:type="dxa" w:w="68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Khi mất kết nối hoặc máy chủ tạm lỗi, thông báo dễ hiểu; không mất dữ liệu đã lưu; người dùng có thể thử lại an toàn.</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HT-11</w:t>
            </w:r>
          </w:p>
        </w:tc>
        <w:tc>
          <w:tcPr>
            <w:tcW w:type="dxa" w:w="2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Bảo mật</w:t>
            </w:r>
          </w:p>
        </w:tc>
        <w:tc>
          <w:tcPr>
            <w:tcW w:type="dxa" w:w="68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Phiên đăng nhập hết hạn đúng quy định; đường dẫn trực tiếp không vượt quyền; chứng từ không công khai ngoài hệ thống.</w:t>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HT-12</w:t>
            </w:r>
          </w:p>
        </w:tc>
        <w:tc>
          <w:tcPr>
            <w:tcW w:type="dxa" w:w="2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Đối chiếu cuối kỳ</w:t>
            </w:r>
          </w:p>
        </w:tc>
        <w:tc>
          <w:tcPr>
            <w:tcW w:type="dxa" w:w="68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Tổng giấy báo nợ, khoản đã thu, số còn phải thu và chi hộ khớp báo cáo chi tiết; mọi chênh lệch truy ngược được đến chứng từ.</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Mỗi lần chạy thử, sao chép bảng dưới đây và điền một dòng cho từng tiêu chí.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khách hàng cần cung cấp đã có người phụ trách và hạn hoàn thành; các tiêu chí nghiệm thu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khách hàng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SilverSea Logistics</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100" w:before="30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SILVERSEA LOGISTICS</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Bản làm việc 2.0 — 21/07/2026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SilverSea Logistics  |  Phiếu xác nhận yêu cầu 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SilverSea — Phiếu khảo sát và xác nhận yêu cầu phân hệ CUS</dc:title>
  <dc:creator>TingTing Product</dc:creator>
  <dc:description>Tài liệu khảo sát nghiệp vụ và tiêu chí nghiệm thu bằng tiếng Việt</dc:description>
  <cp:lastModifiedBy>Un-named</cp:lastModifiedBy>
  <cp:revision>1</cp:revision>
  <dcterms:created xsi:type="dcterms:W3CDTF">2026-07-21T11:35:02.800Z</dcterms:created>
  <dcterms:modified xsi:type="dcterms:W3CDTF">2026-07-21T11:35:02.803Z</dcterms:modified>
</cp:coreProperties>
</file>

<file path=docProps/custom.xml><?xml version="1.0" encoding="utf-8"?>
<Properties xmlns="http://schemas.openxmlformats.org/officeDocument/2006/custom-properties" xmlns:vt="http://schemas.openxmlformats.org/officeDocument/2006/docPropsVTypes"/>
</file>